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50" w:rsidRDefault="00A60550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Pytania kierunkowe (ogólne)</w:t>
      </w:r>
    </w:p>
    <w:p w:rsidR="00A60550" w:rsidRDefault="00A60550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0550" w:rsidRDefault="004F03B1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F30">
        <w:rPr>
          <w:rFonts w:ascii="Arial" w:hAnsi="Arial" w:cs="Arial"/>
          <w:b/>
          <w:sz w:val="28"/>
          <w:szCs w:val="28"/>
        </w:rPr>
        <w:t xml:space="preserve"> egzamin magisterski</w:t>
      </w:r>
    </w:p>
    <w:p w:rsidR="00A60550" w:rsidRDefault="00A60550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F03B1" w:rsidRDefault="004F03B1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F30">
        <w:rPr>
          <w:rFonts w:ascii="Arial" w:hAnsi="Arial" w:cs="Arial"/>
          <w:b/>
          <w:sz w:val="28"/>
          <w:szCs w:val="28"/>
        </w:rPr>
        <w:t xml:space="preserve"> </w:t>
      </w:r>
      <w:r w:rsidR="00A60550">
        <w:rPr>
          <w:rFonts w:ascii="Arial" w:hAnsi="Arial" w:cs="Arial"/>
          <w:b/>
          <w:sz w:val="28"/>
          <w:szCs w:val="28"/>
        </w:rPr>
        <w:t>kierunek:</w:t>
      </w:r>
      <w:r w:rsidRPr="00B06F30">
        <w:rPr>
          <w:rFonts w:ascii="Arial" w:hAnsi="Arial" w:cs="Arial"/>
          <w:b/>
          <w:sz w:val="28"/>
          <w:szCs w:val="28"/>
        </w:rPr>
        <w:t xml:space="preserve"> </w:t>
      </w:r>
      <w:r w:rsidRPr="00B8352D">
        <w:rPr>
          <w:rFonts w:ascii="Arial" w:hAnsi="Arial" w:cs="Arial"/>
          <w:b/>
          <w:color w:val="FF0000"/>
          <w:sz w:val="28"/>
          <w:szCs w:val="28"/>
        </w:rPr>
        <w:t>Gospodarka przestrzenna</w:t>
      </w:r>
    </w:p>
    <w:p w:rsidR="00A60550" w:rsidRDefault="00A60550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0550" w:rsidRPr="00B06F30" w:rsidRDefault="00A60550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Charakterystyka danych teledetekcyjnych jako źródeł danych przestrzennych</w:t>
      </w:r>
    </w:p>
    <w:p w:rsidR="004F03B1" w:rsidRPr="00B06F30" w:rsidRDefault="004F03B1" w:rsidP="00CC3F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Metody klasyfikowania treści obrazów spektralnych</w:t>
      </w:r>
    </w:p>
    <w:p w:rsidR="004F03B1" w:rsidRPr="00B06F30" w:rsidRDefault="004F03B1" w:rsidP="00CC3F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Etapy tworzenia wizualizacji obiektu inżynierskiego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Nowoczesne techniki pomiarowe, wykorzystywane na potrzeby inwentaryzacji obiektów inżynierskich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 xml:space="preserve">Podstawowe założenia koncepcyjne Kodeksu </w:t>
      </w:r>
      <w:proofErr w:type="spellStart"/>
      <w:r w:rsidRPr="00B06F30">
        <w:rPr>
          <w:rFonts w:ascii="Arial" w:hAnsi="Arial" w:cs="Arial"/>
          <w:sz w:val="28"/>
          <w:szCs w:val="28"/>
        </w:rPr>
        <w:t>Urbanistyczno</w:t>
      </w:r>
      <w:proofErr w:type="spellEnd"/>
      <w:r w:rsidRPr="00B06F30">
        <w:rPr>
          <w:rFonts w:ascii="Arial" w:hAnsi="Arial" w:cs="Arial"/>
          <w:sz w:val="28"/>
          <w:szCs w:val="28"/>
        </w:rPr>
        <w:t xml:space="preserve"> Budowlanego z uwzględnieniem obowiązków uczestników procesu budowlanego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Podstawy termoizolacji przegród budowlanych (pojęcia współczynników przewodzenia i przenikania ciepła).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B06F30">
        <w:rPr>
          <w:rFonts w:ascii="Arial" w:hAnsi="Arial" w:cs="Arial"/>
          <w:sz w:val="28"/>
          <w:szCs w:val="28"/>
        </w:rPr>
        <w:t>Samoogrzewalność</w:t>
      </w:r>
      <w:proofErr w:type="spellEnd"/>
      <w:r w:rsidRPr="00B06F30">
        <w:rPr>
          <w:rFonts w:ascii="Arial" w:hAnsi="Arial" w:cs="Arial"/>
          <w:sz w:val="28"/>
          <w:szCs w:val="28"/>
        </w:rPr>
        <w:t xml:space="preserve"> budynków inwentarskich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Rodzaje budynków i budowli w gospodarstwie rolnym z omówieniem typów współczesnej zabudowy zagrodowej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Działanie obwałowań i ich wpływ na środowisko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Strefy zagrożenia powodziowego: definicja, przykłady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Czynniki wpływające na rozwój struktury osadniczej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Cele Strategii rozwoju obszarów wiejskich, rolnictwa i rybactwa 2012-2020 oraz priorytet PROW 2014-2020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Odnowa Wsi w PROW na lata 2014-2020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Wymagania dotyczące Gminnych Programów Rewitalizacyjnych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Główne zasady, cele i źródła finansowania Wspólnej Polityki Rolnej oraz jej znaczenie dla rozwoju obszarów wiejskich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Sposoby realizacji idei zrównoważonego rozwoju w gospodarstwie rolnym i na obszarach wiejskich</w:t>
      </w:r>
    </w:p>
    <w:p w:rsidR="004F03B1" w:rsidRPr="00B06F30" w:rsidRDefault="004F03B1" w:rsidP="00CC3FE1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Reformy proekologiczne we Wspólnej Polityce Rolnej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Mierniki trwałego i zrównoważonego rozwoju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Cechy konstytutywne miasta i specyfika warunków siedliskowych w miastach (klimat, woda,</w:t>
      </w:r>
      <w:r w:rsidR="005A367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06F30">
        <w:rPr>
          <w:rFonts w:ascii="Arial" w:hAnsi="Arial" w:cs="Arial"/>
          <w:sz w:val="28"/>
          <w:szCs w:val="28"/>
        </w:rPr>
        <w:t>gleby)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Przyczyny powstawania i szkodliwość miejskiej wyspy ciepła oraz sposoby jej zapobiegania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Synantropizacja szaty roślinnej, funkcje i zasady kształtowania zieleni miejskiej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B06F30">
        <w:rPr>
          <w:rFonts w:ascii="Arial" w:hAnsi="Arial" w:cs="Arial"/>
          <w:sz w:val="28"/>
          <w:szCs w:val="28"/>
        </w:rPr>
        <w:t>Renaturyzacja</w:t>
      </w:r>
      <w:proofErr w:type="spellEnd"/>
      <w:r w:rsidRPr="00B06F30">
        <w:rPr>
          <w:rFonts w:ascii="Arial" w:hAnsi="Arial" w:cs="Arial"/>
          <w:sz w:val="28"/>
          <w:szCs w:val="28"/>
        </w:rPr>
        <w:t xml:space="preserve"> i rewitalizacja rzek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Przykłady działań w różnych strefach przedsięwzięć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Krajobrazy elementarne i sprzężenie geochemiczne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Wpływ antropopresji na geochemię krajobrazu i cykle geochemiczne pierwiastków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Model północnoeuropejski i południowoeuropejski samorządu terytorialnego (przykłady)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Dobra publiczne i ich cechy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System podziału Unii Europejskiej wg NUTS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Cele polityki spójności w latach 2014-2020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Obszar funkcjonalny/miejski obszar funkcjonalny ośrodka wojewódzkiego (przykłady)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Zasady delimitacji obszarów funkcjonalnych (miejskiego obszaru funkcjonalnego ośrodka wojewódzkiego)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Branże gospodarki komunalnej i zakres ich działalności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4F03B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Znaczenie gospodarki komunalnej w rozwoju społeczno-ekonomicznym społeczeństwa</w:t>
      </w:r>
    </w:p>
    <w:p w:rsidR="004F03B1" w:rsidRPr="00B06F30" w:rsidRDefault="004F03B1" w:rsidP="00CC3FE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4F03B1" w:rsidP="00CC3F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Rzeczoznawstwo majątkowe</w:t>
      </w:r>
    </w:p>
    <w:p w:rsidR="00CC3FE1" w:rsidRPr="00B06F30" w:rsidRDefault="00CC3FE1" w:rsidP="00CC3FE1">
      <w:pPr>
        <w:pStyle w:val="Akapitzlist"/>
        <w:rPr>
          <w:rFonts w:ascii="Arial" w:hAnsi="Arial" w:cs="Arial"/>
          <w:sz w:val="28"/>
          <w:szCs w:val="28"/>
        </w:rPr>
      </w:pPr>
    </w:p>
    <w:p w:rsidR="00CC3FE1" w:rsidRPr="00B000F3" w:rsidRDefault="004F03B1" w:rsidP="00CB77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Powszechne Krajowe Zasady Wyceny</w:t>
      </w:r>
    </w:p>
    <w:sectPr w:rsidR="00CC3FE1" w:rsidRPr="00B000F3" w:rsidSect="00CC3F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F2B"/>
    <w:multiLevelType w:val="hybridMultilevel"/>
    <w:tmpl w:val="602A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227"/>
    <w:multiLevelType w:val="hybridMultilevel"/>
    <w:tmpl w:val="E22A1E94"/>
    <w:lvl w:ilvl="0" w:tplc="D57A36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EFC"/>
    <w:multiLevelType w:val="hybridMultilevel"/>
    <w:tmpl w:val="F53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BCD"/>
    <w:multiLevelType w:val="hybridMultilevel"/>
    <w:tmpl w:val="90DC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1"/>
    <w:rsid w:val="000D1C6D"/>
    <w:rsid w:val="002638E5"/>
    <w:rsid w:val="004F03B1"/>
    <w:rsid w:val="005A367A"/>
    <w:rsid w:val="00A60550"/>
    <w:rsid w:val="00B000F3"/>
    <w:rsid w:val="00B06F30"/>
    <w:rsid w:val="00B8352D"/>
    <w:rsid w:val="00CB772B"/>
    <w:rsid w:val="00CC3FE1"/>
    <w:rsid w:val="00D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5BF6-EE4D-4991-A2FB-FD38D4A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2019-01-28T14:42:00Z</dcterms:created>
  <dcterms:modified xsi:type="dcterms:W3CDTF">2019-02-21T14:38:00Z</dcterms:modified>
</cp:coreProperties>
</file>