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E0" w:rsidRDefault="00AD33E0" w:rsidP="000D30E8">
      <w:pPr>
        <w:jc w:val="both"/>
      </w:pPr>
    </w:p>
    <w:p w:rsidR="00763147" w:rsidRPr="000D30E8" w:rsidRDefault="00763147" w:rsidP="000D30E8">
      <w:pPr>
        <w:jc w:val="both"/>
      </w:pPr>
      <w:r w:rsidRPr="000D30E8">
        <w:t>Agnieszka Sobczak, Stude</w:t>
      </w:r>
      <w:r w:rsidR="00C54FD0" w:rsidRPr="000D30E8">
        <w:t>nckie Koło Ekonomistów Agrobizne</w:t>
      </w:r>
      <w:r w:rsidRPr="000D30E8">
        <w:t xml:space="preserve">su, Uniwersytet Przyrodniczy w Poznaniu. </w:t>
      </w:r>
    </w:p>
    <w:p w:rsidR="000D30E8" w:rsidRDefault="00394A8E" w:rsidP="000D30E8">
      <w:pPr>
        <w:jc w:val="center"/>
        <w:rPr>
          <w:b/>
        </w:rPr>
      </w:pPr>
      <w:r w:rsidRPr="000D30E8">
        <w:rPr>
          <w:b/>
        </w:rPr>
        <w:t>Udział</w:t>
      </w:r>
      <w:r w:rsidR="00F909F8" w:rsidRPr="000D30E8">
        <w:rPr>
          <w:b/>
        </w:rPr>
        <w:t xml:space="preserve"> dopłat</w:t>
      </w:r>
      <w:r w:rsidRPr="000D30E8">
        <w:rPr>
          <w:b/>
        </w:rPr>
        <w:t xml:space="preserve"> bezpośrednich</w:t>
      </w:r>
      <w:r w:rsidR="00F909F8" w:rsidRPr="000D30E8">
        <w:rPr>
          <w:b/>
        </w:rPr>
        <w:t xml:space="preserve"> w dochodach rolniczych. </w:t>
      </w:r>
    </w:p>
    <w:p w:rsidR="00C54FD0" w:rsidRDefault="00F909F8" w:rsidP="000D30E8">
      <w:pPr>
        <w:jc w:val="center"/>
      </w:pPr>
      <w:r w:rsidRPr="000D30E8">
        <w:rPr>
          <w:b/>
        </w:rPr>
        <w:t>Polska na tle państw Unii Europejskiej</w:t>
      </w:r>
      <w:r w:rsidRPr="000D30E8">
        <w:t>.</w:t>
      </w:r>
    </w:p>
    <w:p w:rsidR="009C7156" w:rsidRPr="000D30E8" w:rsidRDefault="009C7156" w:rsidP="000D30E8">
      <w:pPr>
        <w:jc w:val="center"/>
      </w:pPr>
    </w:p>
    <w:p w:rsidR="00697AA2" w:rsidRPr="00C85A3B" w:rsidRDefault="000D30E8" w:rsidP="000D30E8">
      <w:pPr>
        <w:jc w:val="both"/>
        <w:rPr>
          <w:b/>
        </w:rPr>
      </w:pPr>
      <w:r w:rsidRPr="00C85A3B">
        <w:rPr>
          <w:b/>
        </w:rPr>
        <w:t>WSTĘP</w:t>
      </w:r>
    </w:p>
    <w:p w:rsidR="00697AA2" w:rsidRDefault="00697AA2" w:rsidP="000D30E8">
      <w:pPr>
        <w:ind w:firstLine="708"/>
        <w:jc w:val="both"/>
      </w:pPr>
      <w:r w:rsidRPr="000D30E8">
        <w:t xml:space="preserve">Już </w:t>
      </w:r>
      <w:r w:rsidR="002923C5" w:rsidRPr="000D30E8">
        <w:t xml:space="preserve">w </w:t>
      </w:r>
      <w:r w:rsidR="00667603">
        <w:t xml:space="preserve">1957 roku w </w:t>
      </w:r>
      <w:r w:rsidR="002923C5" w:rsidRPr="000D30E8">
        <w:t>Traktatach Rzymskich</w:t>
      </w:r>
      <w:r w:rsidR="00112F83" w:rsidRPr="000D30E8">
        <w:t xml:space="preserve"> uwzględniono istotny aspekt prowadzenia wspólnej polityki rolnej. Artykuł 39 traktatu zakładał</w:t>
      </w:r>
      <w:r w:rsidR="002923C5" w:rsidRPr="000D30E8">
        <w:t xml:space="preserve"> m.in.:</w:t>
      </w:r>
      <w:r w:rsidR="00112F83" w:rsidRPr="000D30E8">
        <w:t xml:space="preserve"> zapewnienie odpowiedniego poziomu życia producentom rolnym przez wzrost ich dochodów indywidualnych. System wsparcia gospodarstw rolnych ulegał wielokrotnie przeobrażeniom, które </w:t>
      </w:r>
      <w:r w:rsidR="00667603">
        <w:br/>
      </w:r>
      <w:r w:rsidR="00112F83" w:rsidRPr="000D30E8">
        <w:t>w rezultacie doprowadziły do stworzen</w:t>
      </w:r>
      <w:r w:rsidR="00277DDF" w:rsidRPr="000D30E8">
        <w:t>ia systemu dopłat bezpośrednich</w:t>
      </w:r>
      <w:r w:rsidR="00C54FD0" w:rsidRPr="000D30E8">
        <w:t xml:space="preserve"> </w:t>
      </w:r>
      <w:r w:rsidR="009662F0" w:rsidRPr="000D30E8">
        <w:t xml:space="preserve">[Czyżewski , </w:t>
      </w:r>
      <w:proofErr w:type="spellStart"/>
      <w:r w:rsidR="009662F0" w:rsidRPr="000D30E8">
        <w:t>Hanisz</w:t>
      </w:r>
      <w:proofErr w:type="spellEnd"/>
      <w:r w:rsidR="009662F0" w:rsidRPr="000D30E8">
        <w:t>- Matuszczak</w:t>
      </w:r>
      <w:r w:rsidR="00277DDF" w:rsidRPr="000D30E8">
        <w:t>, 2006]</w:t>
      </w:r>
      <w:r w:rsidR="00C54FD0" w:rsidRPr="000D30E8">
        <w:t>.</w:t>
      </w:r>
      <w:r w:rsidRPr="000D30E8">
        <w:t xml:space="preserve"> </w:t>
      </w:r>
      <w:r w:rsidR="00667603" w:rsidRPr="000D30E8">
        <w:t xml:space="preserve">Wraz z wejściem Polski do UE obszary wiejskie zostały włączone do systemu Wspólnej Polityki Rolnej, której zasadniczym elementem są dopłaty bezpośrednie. Ta forma transferów dla rolnictwa zaczęła odgrywać dominującą rolę </w:t>
      </w:r>
      <w:r w:rsidR="00F5717C">
        <w:br/>
      </w:r>
      <w:r w:rsidR="00667603" w:rsidRPr="000D30E8">
        <w:t>w mechanizmie polityki rolnej, a w gospodarstwach rolnych stanowi ważny składnik dochodów</w:t>
      </w:r>
      <w:r w:rsidR="00667603">
        <w:t xml:space="preserve">. </w:t>
      </w:r>
      <w:r w:rsidR="002923C5" w:rsidRPr="000D30E8">
        <w:t>Wynikało to pierwotnie z potrzeby wsparcia produkcji, a w efekcie zmian ekonomicznych dopłat wymuszał</w:t>
      </w:r>
      <w:r w:rsidR="00FB18C9" w:rsidRPr="000D30E8">
        <w:t xml:space="preserve"> niski stopień opłacalności produkcji występujący w sektorze rolnym. Pewną rekompensatą niskich cen skupu płodów rolnych or</w:t>
      </w:r>
      <w:r w:rsidR="002923C5" w:rsidRPr="000D30E8">
        <w:t>az wysokich kosztów produkcji były</w:t>
      </w:r>
      <w:r w:rsidR="00FB18C9" w:rsidRPr="000D30E8">
        <w:t xml:space="preserve"> dopłaty bezpośrednie</w:t>
      </w:r>
      <w:r w:rsidR="00040B13" w:rsidRPr="000D30E8">
        <w:t>,</w:t>
      </w:r>
      <w:r w:rsidR="00FB18C9" w:rsidRPr="000D30E8">
        <w:t xml:space="preserve"> przyznawane rolnikom </w:t>
      </w:r>
      <w:r w:rsidR="002923C5" w:rsidRPr="000D30E8">
        <w:t xml:space="preserve">(do czasu reformy Luksemburskiej) </w:t>
      </w:r>
      <w:r w:rsidR="00FB18C9" w:rsidRPr="000D30E8">
        <w:t>do hektara gruntów rolnych.</w:t>
      </w:r>
      <w:r w:rsidR="000B6351">
        <w:t xml:space="preserve"> </w:t>
      </w:r>
      <w:r w:rsidR="000B6351" w:rsidRPr="000D30E8">
        <w:t>Obok jednolitej płatności obszarowej, uzupełniającej płatności obszarowej do grupy upraw uprawnionych i płatności do uprawy chmielu pojawiły się uzupełniające płatności obszarowe do upraw przeznaczonych na paszę na trwałych użytkach zielonych (tzw. płatność zwierzęca), płatność cukrowa, płatność do upraw rzepaku i roślin energetycznych [Kutkowska, 2009].</w:t>
      </w:r>
    </w:p>
    <w:p w:rsidR="00B751CB" w:rsidRDefault="00B751CB" w:rsidP="000D30E8">
      <w:pPr>
        <w:ind w:firstLine="708"/>
        <w:jc w:val="both"/>
      </w:pPr>
    </w:p>
    <w:p w:rsidR="00697AA2" w:rsidRPr="00C85A3B" w:rsidRDefault="00CE10B8" w:rsidP="000D30E8">
      <w:pPr>
        <w:jc w:val="both"/>
        <w:rPr>
          <w:b/>
        </w:rPr>
      </w:pPr>
      <w:r w:rsidRPr="00C85A3B">
        <w:rPr>
          <w:b/>
        </w:rPr>
        <w:t>CEL</w:t>
      </w:r>
      <w:r w:rsidR="00667603">
        <w:rPr>
          <w:b/>
        </w:rPr>
        <w:t>,</w:t>
      </w:r>
      <w:r w:rsidRPr="00C85A3B">
        <w:rPr>
          <w:b/>
        </w:rPr>
        <w:t xml:space="preserve"> ZAKRES I METODYKA</w:t>
      </w:r>
    </w:p>
    <w:p w:rsidR="00697AA2" w:rsidRDefault="002923C5" w:rsidP="000B6351">
      <w:pPr>
        <w:ind w:firstLine="708"/>
        <w:jc w:val="both"/>
      </w:pPr>
      <w:r w:rsidRPr="000D30E8">
        <w:t>Jednym z elementów oceny funkcjonowania systemu dopłat jest analiza ich udziału w dochodach rolniczych</w:t>
      </w:r>
      <w:r w:rsidR="00F24759" w:rsidRPr="000D30E8">
        <w:t>, co pozwala</w:t>
      </w:r>
      <w:r w:rsidRPr="000D30E8">
        <w:t xml:space="preserve"> </w:t>
      </w:r>
      <w:r w:rsidR="00FB18C9" w:rsidRPr="000D30E8">
        <w:t>ocenić kondycję finansową gospodarstw rolnych</w:t>
      </w:r>
      <w:r w:rsidR="00F24759" w:rsidRPr="000D30E8">
        <w:t xml:space="preserve"> i rolę w tym polityki rolnej. </w:t>
      </w:r>
      <w:r w:rsidR="009C68DE" w:rsidRPr="000D30E8">
        <w:br/>
      </w:r>
      <w:r w:rsidR="0053308B" w:rsidRPr="000D30E8">
        <w:t>Do przeprowadzenia analizy</w:t>
      </w:r>
      <w:r w:rsidR="005862C6" w:rsidRPr="000D30E8">
        <w:t xml:space="preserve"> tych płatności</w:t>
      </w:r>
      <w:r w:rsidR="0053308B" w:rsidRPr="000D30E8">
        <w:t xml:space="preserve"> posłużono się danymi </w:t>
      </w:r>
      <w:r w:rsidR="00F5717C">
        <w:br/>
      </w:r>
      <w:r w:rsidR="0053308B" w:rsidRPr="000D30E8">
        <w:t>Raportów Standardowych FADN Komisji Europejskiej.</w:t>
      </w:r>
      <w:r w:rsidR="00D206E6" w:rsidRPr="000D30E8">
        <w:t xml:space="preserve"> </w:t>
      </w:r>
      <w:r w:rsidR="005862C6" w:rsidRPr="000D30E8">
        <w:t>F</w:t>
      </w:r>
      <w:r w:rsidR="002E5022" w:rsidRPr="000D30E8">
        <w:t xml:space="preserve">ADN jest jedynym zunifikowanym systemem zbierania danych rachunkowych </w:t>
      </w:r>
      <w:r w:rsidR="00F435DB" w:rsidRPr="000D30E8">
        <w:br/>
      </w:r>
      <w:r w:rsidR="002E5022" w:rsidRPr="000D30E8">
        <w:t xml:space="preserve">z reprezentatywnej grupy towarowych gospodarstw rolnych </w:t>
      </w:r>
      <w:r w:rsidR="009C68DE" w:rsidRPr="000D30E8">
        <w:t>f</w:t>
      </w:r>
      <w:r w:rsidR="002E5022" w:rsidRPr="000D30E8">
        <w:t>unkcjonujących na obszarze UE, obejmujący zakres danych od 1989 do 2009 roku. Zmienne w bazie są szczegółowo opisane, jednoznacznie zdefiniowane i dla ułatwienia  o</w:t>
      </w:r>
      <w:r w:rsidR="00B821E9">
        <w:t xml:space="preserve">znaczone symbolami [Sobczyński </w:t>
      </w:r>
      <w:r w:rsidR="00784C64" w:rsidRPr="000D30E8">
        <w:t>, 2008].</w:t>
      </w:r>
    </w:p>
    <w:p w:rsidR="00675A65" w:rsidRDefault="00D206E6" w:rsidP="000D30E8">
      <w:pPr>
        <w:jc w:val="both"/>
      </w:pPr>
      <w:r w:rsidRPr="000D30E8">
        <w:lastRenderedPageBreak/>
        <w:t>Analizę p</w:t>
      </w:r>
      <w:r w:rsidR="00C54FD0" w:rsidRPr="000D30E8">
        <w:t>rzeprowadzono dla lat 2004-2009</w:t>
      </w:r>
      <w:r w:rsidR="00040B13" w:rsidRPr="000D30E8">
        <w:t>. A</w:t>
      </w:r>
      <w:r w:rsidRPr="000D30E8">
        <w:t xml:space="preserve">by </w:t>
      </w:r>
      <w:r w:rsidR="00040B13" w:rsidRPr="000D30E8">
        <w:t>uzyskać</w:t>
      </w:r>
      <w:r w:rsidRPr="000D30E8">
        <w:t xml:space="preserve"> wartość dopłat bezpośrednich </w:t>
      </w:r>
      <w:r w:rsidR="00C54FD0" w:rsidRPr="000D30E8">
        <w:t xml:space="preserve">otrzymywanych przez polskich rolników </w:t>
      </w:r>
      <w:r w:rsidR="0053308B" w:rsidRPr="000D30E8">
        <w:t>użyto następujące zmienne</w:t>
      </w:r>
      <w:r w:rsidRPr="000D30E8">
        <w:t xml:space="preserve">: </w:t>
      </w:r>
      <w:r w:rsidR="0053308B" w:rsidRPr="000D30E8">
        <w:t xml:space="preserve"> </w:t>
      </w:r>
      <w:r w:rsidRPr="000D30E8">
        <w:t>SE610</w:t>
      </w:r>
      <w:r w:rsidR="00B46615" w:rsidRPr="000D30E8">
        <w:t xml:space="preserve"> </w:t>
      </w:r>
      <w:r w:rsidRPr="000D30E8">
        <w:t>(dopłaty do produkcji roślinnej)</w:t>
      </w:r>
      <w:r w:rsidR="00B77E65" w:rsidRPr="000D30E8">
        <w:t xml:space="preserve"> </w:t>
      </w:r>
      <w:r w:rsidRPr="000D30E8">
        <w:t>+</w:t>
      </w:r>
      <w:r w:rsidR="00B77E65" w:rsidRPr="000D30E8">
        <w:t xml:space="preserve"> </w:t>
      </w:r>
      <w:r w:rsidRPr="000D30E8">
        <w:t>[SE620</w:t>
      </w:r>
      <w:r w:rsidR="00B46615" w:rsidRPr="000D30E8">
        <w:t xml:space="preserve"> </w:t>
      </w:r>
      <w:r w:rsidRPr="000D30E8">
        <w:t>( pozostałe dopłaty) -SE621</w:t>
      </w:r>
      <w:r w:rsidR="00B46615" w:rsidRPr="000D30E8">
        <w:t xml:space="preserve"> </w:t>
      </w:r>
      <w:r w:rsidRPr="000D30E8">
        <w:t xml:space="preserve">(dopłaty </w:t>
      </w:r>
      <w:proofErr w:type="spellStart"/>
      <w:r w:rsidRPr="000D30E8">
        <w:t>rolnośrodowiskowe</w:t>
      </w:r>
      <w:proofErr w:type="spellEnd"/>
      <w:r w:rsidRPr="000D30E8">
        <w:t>) - SE622</w:t>
      </w:r>
      <w:r w:rsidR="00B77E65" w:rsidRPr="000D30E8">
        <w:t xml:space="preserve"> </w:t>
      </w:r>
      <w:r w:rsidRPr="000D30E8">
        <w:t>(dopłaty do ONW) - SE623 (Inne dopłaty do rozwoju obszarów wiejskich)] +SE631</w:t>
      </w:r>
      <w:r w:rsidR="00B46615" w:rsidRPr="000D30E8">
        <w:t xml:space="preserve"> </w:t>
      </w:r>
      <w:r w:rsidRPr="000D30E8">
        <w:t>(Jednolita płatność obszarowa). Jako analizowany dochód z gospodarstwa rolnego przyjęto SE420</w:t>
      </w:r>
      <w:r w:rsidR="00C36F1C" w:rsidRPr="000D30E8">
        <w:t xml:space="preserve"> (dochód z rodzinnego gospodarstwa rolnego)</w:t>
      </w:r>
      <w:r w:rsidRPr="000D30E8">
        <w:t>.</w:t>
      </w:r>
      <w:r w:rsidR="002454D8" w:rsidRPr="000D30E8">
        <w:t xml:space="preserve"> </w:t>
      </w:r>
    </w:p>
    <w:p w:rsidR="004374BF" w:rsidRDefault="004374BF" w:rsidP="000D30E8">
      <w:pPr>
        <w:jc w:val="both"/>
      </w:pPr>
    </w:p>
    <w:p w:rsidR="004374BF" w:rsidRPr="00F84FEA" w:rsidRDefault="004374BF" w:rsidP="000D30E8">
      <w:pPr>
        <w:jc w:val="both"/>
        <w:rPr>
          <w:sz w:val="18"/>
          <w:szCs w:val="18"/>
        </w:rPr>
      </w:pPr>
      <w:r w:rsidRPr="00CE10B8">
        <w:rPr>
          <w:sz w:val="18"/>
          <w:szCs w:val="18"/>
        </w:rPr>
        <w:t xml:space="preserve">Tabela </w:t>
      </w:r>
      <w:r w:rsidR="00444674" w:rsidRPr="00CE10B8">
        <w:rPr>
          <w:sz w:val="18"/>
          <w:szCs w:val="18"/>
        </w:rPr>
        <w:fldChar w:fldCharType="begin"/>
      </w:r>
      <w:r w:rsidRPr="00CE10B8">
        <w:rPr>
          <w:sz w:val="18"/>
          <w:szCs w:val="18"/>
        </w:rPr>
        <w:instrText xml:space="preserve"> SEQ Tabela \* ARABIC </w:instrText>
      </w:r>
      <w:r w:rsidR="00444674" w:rsidRPr="00CE10B8">
        <w:rPr>
          <w:sz w:val="18"/>
          <w:szCs w:val="18"/>
        </w:rPr>
        <w:fldChar w:fldCharType="separate"/>
      </w:r>
      <w:r w:rsidRPr="00CE10B8">
        <w:rPr>
          <w:sz w:val="18"/>
          <w:szCs w:val="18"/>
        </w:rPr>
        <w:t>1</w:t>
      </w:r>
      <w:r w:rsidR="00444674" w:rsidRPr="00CE10B8">
        <w:rPr>
          <w:sz w:val="18"/>
          <w:szCs w:val="18"/>
        </w:rPr>
        <w:fldChar w:fldCharType="end"/>
      </w:r>
      <w:r w:rsidRPr="00CE10B8">
        <w:rPr>
          <w:sz w:val="18"/>
          <w:szCs w:val="18"/>
        </w:rPr>
        <w:t>. Udział dopłat bezpośrednich w dochodach rolniczych w Polsce w latach 2004-2009.</w:t>
      </w:r>
    </w:p>
    <w:tbl>
      <w:tblPr>
        <w:tblStyle w:val="Tabela-Siatka"/>
        <w:tblW w:w="0" w:type="auto"/>
        <w:tblLook w:val="04A0"/>
      </w:tblPr>
      <w:tblGrid>
        <w:gridCol w:w="1101"/>
        <w:gridCol w:w="1842"/>
        <w:gridCol w:w="1985"/>
        <w:gridCol w:w="2357"/>
      </w:tblGrid>
      <w:tr w:rsidR="004374BF" w:rsidRPr="00F84FEA" w:rsidTr="00F84FEA">
        <w:tc>
          <w:tcPr>
            <w:tcW w:w="1101" w:type="dxa"/>
            <w:vAlign w:val="center"/>
          </w:tcPr>
          <w:p w:rsidR="004374BF" w:rsidRPr="00F84FEA" w:rsidRDefault="004374BF" w:rsidP="00F84FEA">
            <w:pPr>
              <w:jc w:val="center"/>
              <w:rPr>
                <w:sz w:val="18"/>
                <w:szCs w:val="18"/>
              </w:rPr>
            </w:pPr>
            <w:r w:rsidRPr="00F84FEA">
              <w:rPr>
                <w:sz w:val="18"/>
                <w:szCs w:val="18"/>
              </w:rPr>
              <w:t>Rok</w:t>
            </w:r>
          </w:p>
        </w:tc>
        <w:tc>
          <w:tcPr>
            <w:tcW w:w="1842" w:type="dxa"/>
            <w:vAlign w:val="center"/>
          </w:tcPr>
          <w:p w:rsidR="004374BF" w:rsidRPr="00F84FEA" w:rsidRDefault="004374BF" w:rsidP="00F84FEA">
            <w:pPr>
              <w:jc w:val="center"/>
              <w:rPr>
                <w:sz w:val="18"/>
                <w:szCs w:val="18"/>
              </w:rPr>
            </w:pPr>
            <w:r w:rsidRPr="00F84FEA">
              <w:rPr>
                <w:sz w:val="18"/>
                <w:szCs w:val="18"/>
              </w:rPr>
              <w:t>Dopłaty bezpośrednie (euro)</w:t>
            </w:r>
          </w:p>
        </w:tc>
        <w:tc>
          <w:tcPr>
            <w:tcW w:w="1985" w:type="dxa"/>
            <w:vAlign w:val="center"/>
          </w:tcPr>
          <w:p w:rsidR="004374BF" w:rsidRPr="00F84FEA" w:rsidRDefault="004374BF" w:rsidP="00F84FEA">
            <w:pPr>
              <w:jc w:val="center"/>
              <w:rPr>
                <w:sz w:val="18"/>
                <w:szCs w:val="18"/>
              </w:rPr>
            </w:pPr>
            <w:r w:rsidRPr="00F84FEA">
              <w:rPr>
                <w:sz w:val="18"/>
                <w:szCs w:val="18"/>
              </w:rPr>
              <w:t>Dochód gospodarstwa rolnego (euro)</w:t>
            </w:r>
          </w:p>
        </w:tc>
        <w:tc>
          <w:tcPr>
            <w:tcW w:w="2357" w:type="dxa"/>
            <w:vAlign w:val="center"/>
          </w:tcPr>
          <w:p w:rsidR="004374BF" w:rsidRPr="00F84FEA" w:rsidRDefault="00F84FEA" w:rsidP="00F84FEA">
            <w:pPr>
              <w:jc w:val="center"/>
              <w:rPr>
                <w:sz w:val="18"/>
                <w:szCs w:val="18"/>
              </w:rPr>
            </w:pPr>
            <w:r w:rsidRPr="00F84FEA">
              <w:rPr>
                <w:sz w:val="18"/>
                <w:szCs w:val="18"/>
              </w:rPr>
              <w:t>Udział dopłat bezpośrednich w dochodach rolniczych (%)</w:t>
            </w:r>
          </w:p>
        </w:tc>
      </w:tr>
      <w:tr w:rsidR="004374BF" w:rsidRPr="00F84FEA" w:rsidTr="00F84FEA">
        <w:tc>
          <w:tcPr>
            <w:tcW w:w="1101" w:type="dxa"/>
            <w:vAlign w:val="center"/>
          </w:tcPr>
          <w:p w:rsidR="004374BF" w:rsidRPr="00F84FEA" w:rsidRDefault="00F84FEA" w:rsidP="00F84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</w:t>
            </w:r>
          </w:p>
        </w:tc>
        <w:tc>
          <w:tcPr>
            <w:tcW w:w="1842" w:type="dxa"/>
            <w:vAlign w:val="center"/>
          </w:tcPr>
          <w:p w:rsidR="004374BF" w:rsidRPr="00F84FEA" w:rsidRDefault="00F84FEA" w:rsidP="00F84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1878</w:t>
            </w:r>
          </w:p>
        </w:tc>
        <w:tc>
          <w:tcPr>
            <w:tcW w:w="1985" w:type="dxa"/>
            <w:vAlign w:val="center"/>
          </w:tcPr>
          <w:p w:rsidR="004374BF" w:rsidRPr="00F84FEA" w:rsidRDefault="00F84FEA" w:rsidP="00F84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6071</w:t>
            </w:r>
          </w:p>
        </w:tc>
        <w:tc>
          <w:tcPr>
            <w:tcW w:w="2357" w:type="dxa"/>
            <w:vAlign w:val="center"/>
          </w:tcPr>
          <w:p w:rsidR="004374BF" w:rsidRPr="00F84FEA" w:rsidRDefault="00F84FEA" w:rsidP="00F84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30,9%</w:t>
            </w:r>
          </w:p>
        </w:tc>
      </w:tr>
      <w:tr w:rsidR="004374BF" w:rsidRPr="00F84FEA" w:rsidTr="00F84FEA">
        <w:tc>
          <w:tcPr>
            <w:tcW w:w="1101" w:type="dxa"/>
            <w:vAlign w:val="center"/>
          </w:tcPr>
          <w:p w:rsidR="004374BF" w:rsidRPr="00F84FEA" w:rsidRDefault="00F84FEA" w:rsidP="00F84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842" w:type="dxa"/>
            <w:vAlign w:val="center"/>
          </w:tcPr>
          <w:p w:rsidR="004374BF" w:rsidRPr="00F84FEA" w:rsidRDefault="00F84FEA" w:rsidP="00F84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</w:t>
            </w:r>
          </w:p>
        </w:tc>
        <w:tc>
          <w:tcPr>
            <w:tcW w:w="1985" w:type="dxa"/>
            <w:vAlign w:val="center"/>
          </w:tcPr>
          <w:p w:rsidR="004374BF" w:rsidRPr="00F84FEA" w:rsidRDefault="00F84FEA" w:rsidP="00F84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5997</w:t>
            </w:r>
          </w:p>
        </w:tc>
        <w:tc>
          <w:tcPr>
            <w:tcW w:w="2357" w:type="dxa"/>
            <w:vAlign w:val="center"/>
          </w:tcPr>
          <w:p w:rsidR="004374BF" w:rsidRPr="00F84FEA" w:rsidRDefault="00F84FEA" w:rsidP="00F84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29,5%</w:t>
            </w:r>
          </w:p>
        </w:tc>
      </w:tr>
      <w:tr w:rsidR="004374BF" w:rsidRPr="00F84FEA" w:rsidTr="00F84FEA">
        <w:tc>
          <w:tcPr>
            <w:tcW w:w="1101" w:type="dxa"/>
            <w:vAlign w:val="center"/>
          </w:tcPr>
          <w:p w:rsidR="004374BF" w:rsidRPr="00F84FEA" w:rsidRDefault="00F84FEA" w:rsidP="00F84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842" w:type="dxa"/>
            <w:vAlign w:val="center"/>
          </w:tcPr>
          <w:p w:rsidR="004374BF" w:rsidRPr="00F84FEA" w:rsidRDefault="00F84FEA" w:rsidP="00F84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2396</w:t>
            </w:r>
          </w:p>
        </w:tc>
        <w:tc>
          <w:tcPr>
            <w:tcW w:w="1985" w:type="dxa"/>
            <w:vAlign w:val="center"/>
          </w:tcPr>
          <w:p w:rsidR="004374BF" w:rsidRPr="00F84FEA" w:rsidRDefault="00F84FEA" w:rsidP="00F84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7638</w:t>
            </w:r>
          </w:p>
        </w:tc>
        <w:tc>
          <w:tcPr>
            <w:tcW w:w="2357" w:type="dxa"/>
            <w:vAlign w:val="center"/>
          </w:tcPr>
          <w:p w:rsidR="004374BF" w:rsidRPr="00F84FEA" w:rsidRDefault="00F84FEA" w:rsidP="00F84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31,4%</w:t>
            </w:r>
          </w:p>
        </w:tc>
      </w:tr>
      <w:tr w:rsidR="004374BF" w:rsidRPr="00F84FEA" w:rsidTr="00F84FEA">
        <w:tc>
          <w:tcPr>
            <w:tcW w:w="1101" w:type="dxa"/>
            <w:vAlign w:val="center"/>
          </w:tcPr>
          <w:p w:rsidR="004374BF" w:rsidRPr="00F84FEA" w:rsidRDefault="00F84FEA" w:rsidP="00F84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842" w:type="dxa"/>
            <w:vAlign w:val="center"/>
          </w:tcPr>
          <w:p w:rsidR="004374BF" w:rsidRPr="00F84FEA" w:rsidRDefault="00F84FEA" w:rsidP="00F84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2727</w:t>
            </w:r>
          </w:p>
        </w:tc>
        <w:tc>
          <w:tcPr>
            <w:tcW w:w="1985" w:type="dxa"/>
            <w:vAlign w:val="center"/>
          </w:tcPr>
          <w:p w:rsidR="004374BF" w:rsidRPr="00F84FEA" w:rsidRDefault="00F84FEA" w:rsidP="00F84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9868</w:t>
            </w:r>
          </w:p>
        </w:tc>
        <w:tc>
          <w:tcPr>
            <w:tcW w:w="2357" w:type="dxa"/>
            <w:vAlign w:val="center"/>
          </w:tcPr>
          <w:p w:rsidR="004374BF" w:rsidRPr="00F84FEA" w:rsidRDefault="00F84FEA" w:rsidP="00F84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27,6%</w:t>
            </w:r>
          </w:p>
        </w:tc>
      </w:tr>
      <w:tr w:rsidR="004374BF" w:rsidRPr="00F84FEA" w:rsidTr="00F84FEA">
        <w:tc>
          <w:tcPr>
            <w:tcW w:w="1101" w:type="dxa"/>
            <w:vAlign w:val="center"/>
          </w:tcPr>
          <w:p w:rsidR="004374BF" w:rsidRPr="00F84FEA" w:rsidRDefault="00F84FEA" w:rsidP="00F84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842" w:type="dxa"/>
            <w:vAlign w:val="center"/>
          </w:tcPr>
          <w:p w:rsidR="004374BF" w:rsidRPr="00F84FEA" w:rsidRDefault="00F84FEA" w:rsidP="00F84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3487</w:t>
            </w:r>
          </w:p>
        </w:tc>
        <w:tc>
          <w:tcPr>
            <w:tcW w:w="1985" w:type="dxa"/>
            <w:vAlign w:val="center"/>
          </w:tcPr>
          <w:p w:rsidR="004374BF" w:rsidRPr="00F84FEA" w:rsidRDefault="00F84FEA" w:rsidP="00F84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7738</w:t>
            </w:r>
          </w:p>
        </w:tc>
        <w:tc>
          <w:tcPr>
            <w:tcW w:w="2357" w:type="dxa"/>
            <w:vAlign w:val="center"/>
          </w:tcPr>
          <w:p w:rsidR="004374BF" w:rsidRPr="00F84FEA" w:rsidRDefault="00F84FEA" w:rsidP="00F84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45,1%</w:t>
            </w:r>
          </w:p>
        </w:tc>
      </w:tr>
      <w:tr w:rsidR="004374BF" w:rsidRPr="00F84FEA" w:rsidTr="00F84FEA">
        <w:tc>
          <w:tcPr>
            <w:tcW w:w="1101" w:type="dxa"/>
            <w:vAlign w:val="center"/>
          </w:tcPr>
          <w:p w:rsidR="004374BF" w:rsidRPr="00F84FEA" w:rsidRDefault="00F84FEA" w:rsidP="00F84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1842" w:type="dxa"/>
            <w:vAlign w:val="center"/>
          </w:tcPr>
          <w:p w:rsidR="004374BF" w:rsidRPr="00F84FEA" w:rsidRDefault="00F84FEA" w:rsidP="00F84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</w:t>
            </w:r>
          </w:p>
        </w:tc>
        <w:tc>
          <w:tcPr>
            <w:tcW w:w="1985" w:type="dxa"/>
            <w:vAlign w:val="center"/>
          </w:tcPr>
          <w:p w:rsidR="004374BF" w:rsidRPr="00F84FEA" w:rsidRDefault="00F84FEA" w:rsidP="00F84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6681</w:t>
            </w:r>
          </w:p>
        </w:tc>
        <w:tc>
          <w:tcPr>
            <w:tcW w:w="2357" w:type="dxa"/>
            <w:vAlign w:val="center"/>
          </w:tcPr>
          <w:p w:rsidR="004374BF" w:rsidRPr="00F84FEA" w:rsidRDefault="00F84FEA" w:rsidP="00F84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57,5%</w:t>
            </w:r>
          </w:p>
        </w:tc>
      </w:tr>
    </w:tbl>
    <w:p w:rsidR="004374BF" w:rsidRPr="00C54FD0" w:rsidRDefault="004374BF" w:rsidP="004374BF">
      <w:pPr>
        <w:jc w:val="both"/>
        <w:rPr>
          <w:rFonts w:cs="Times New Roman"/>
          <w:sz w:val="18"/>
          <w:szCs w:val="18"/>
        </w:rPr>
      </w:pPr>
      <w:r w:rsidRPr="00C54FD0">
        <w:rPr>
          <w:rFonts w:cs="Times New Roman"/>
          <w:sz w:val="18"/>
          <w:szCs w:val="18"/>
        </w:rPr>
        <w:t>Źródło: Opracowanie własne na podstawie Raportu Standardowego FADN Komisji Europejskiej, dane z dnia 12.02.2013r.</w:t>
      </w:r>
    </w:p>
    <w:p w:rsidR="00F435DB" w:rsidRPr="000D30E8" w:rsidRDefault="008710D7" w:rsidP="00667603">
      <w:pPr>
        <w:ind w:firstLine="708"/>
        <w:jc w:val="both"/>
      </w:pPr>
      <w:r w:rsidRPr="000D30E8">
        <w:t>W badanym okresie</w:t>
      </w:r>
      <w:r w:rsidR="000C45CA" w:rsidRPr="000D30E8">
        <w:t xml:space="preserve">, tzn. na przestrzeni lat 2004- 2009, </w:t>
      </w:r>
      <w:r w:rsidRPr="000D30E8">
        <w:t xml:space="preserve">możemy zauważyć wzrost znaczenia dopłat bezpośrednich w dochodach </w:t>
      </w:r>
      <w:r w:rsidR="00040B13" w:rsidRPr="000D30E8">
        <w:t xml:space="preserve">polskich </w:t>
      </w:r>
      <w:r w:rsidRPr="000D30E8">
        <w:t>rolni</w:t>
      </w:r>
      <w:r w:rsidR="00040B13" w:rsidRPr="000D30E8">
        <w:t>ków</w:t>
      </w:r>
      <w:r w:rsidRPr="000D30E8">
        <w:t xml:space="preserve">. W roku 2004 stanowiły one 31% dochodów gospodarstw rolnych, a w 2009 udział ten wzrósł do 57 </w:t>
      </w:r>
      <w:r w:rsidR="000C45CA" w:rsidRPr="000D30E8">
        <w:t>%</w:t>
      </w:r>
      <w:r w:rsidR="00CD13E2" w:rsidRPr="000D30E8">
        <w:t>. Przyczyn tego zjawiska należy doszukiwać się w rosnącej kwocie dopłat przysługujących do hektara użytków rolnych</w:t>
      </w:r>
      <w:r w:rsidR="000C45CA" w:rsidRPr="009C7156">
        <w:rPr>
          <w:rStyle w:val="Odwoanieprzypisudolnego"/>
          <w:szCs w:val="24"/>
        </w:rPr>
        <w:footnoteReference w:id="1"/>
      </w:r>
      <w:r w:rsidR="00F435DB" w:rsidRPr="000D30E8">
        <w:t xml:space="preserve">[Marks-Bielska, </w:t>
      </w:r>
      <w:proofErr w:type="spellStart"/>
      <w:r w:rsidR="00F435DB" w:rsidRPr="000D30E8">
        <w:t>Babuchowska</w:t>
      </w:r>
      <w:proofErr w:type="spellEnd"/>
      <w:r w:rsidR="00BF3698" w:rsidRPr="000D30E8">
        <w:t xml:space="preserve">, </w:t>
      </w:r>
      <w:r w:rsidR="008656E2" w:rsidRPr="000D30E8">
        <w:t>2010].</w:t>
      </w:r>
    </w:p>
    <w:p w:rsidR="00ED7E71" w:rsidRDefault="000C45CA" w:rsidP="000D30E8">
      <w:pPr>
        <w:jc w:val="both"/>
      </w:pPr>
      <w:r w:rsidRPr="000D30E8">
        <w:t xml:space="preserve">Z powodu zmian koniunktury w rolnictwie, jej wpływ na dochody </w:t>
      </w:r>
      <w:r w:rsidR="00D305B0" w:rsidRPr="000D30E8">
        <w:t>gospodarstw widoczny był w roku 2007. Przyrost dochodów spowodował, że udział dopłat w ich kształtowaniu obniżył się do 28%.</w:t>
      </w:r>
    </w:p>
    <w:p w:rsidR="00AC2219" w:rsidRDefault="00C61503" w:rsidP="00C61503">
      <w:pPr>
        <w:ind w:firstLine="708"/>
        <w:jc w:val="both"/>
      </w:pPr>
      <w:r>
        <w:t>Ze względu na zasadę jednolitości rynków w UE ważne jest porównanie wyników produkcyjnych i mechanizmów</w:t>
      </w:r>
      <w:r w:rsidR="00AC2219">
        <w:t xml:space="preserve"> polityki rolnej </w:t>
      </w:r>
      <w:r w:rsidR="00F5717C">
        <w:br/>
      </w:r>
      <w:r w:rsidR="00AC2219">
        <w:t>w Polsce na tle pozostałych krajów UE.</w:t>
      </w:r>
      <w:r>
        <w:t xml:space="preserve"> </w:t>
      </w:r>
    </w:p>
    <w:p w:rsidR="00C61503" w:rsidRDefault="00C61503" w:rsidP="00AC2219">
      <w:pPr>
        <w:jc w:val="both"/>
      </w:pPr>
      <w:r w:rsidRPr="000D30E8">
        <w:t>Do analizy międzynarodowej wykorzystano dwie zmienne: SE 420- dochód rolniczy oraz SE 605- dopłaty z działalności operacyjnej</w:t>
      </w:r>
      <w:r>
        <w:rPr>
          <w:rStyle w:val="Odwoanieprzypisudolnego"/>
        </w:rPr>
        <w:footnoteReference w:id="2"/>
      </w:r>
      <w:r w:rsidR="00BF1542">
        <w:t>.</w:t>
      </w:r>
      <w:r>
        <w:t xml:space="preserve"> </w:t>
      </w:r>
      <w:r w:rsidRPr="000D30E8">
        <w:t>Pozwoli to na wyróżnienie dopłat związanych z podstawową działalnością gospodarstw rolnych z wszystkich analizowanych państw. Okres badan obejmuje lata 2004</w:t>
      </w:r>
      <w:r>
        <w:t xml:space="preserve"> </w:t>
      </w:r>
      <w:r w:rsidRPr="000D30E8">
        <w:t>i 2009*.</w:t>
      </w:r>
    </w:p>
    <w:p w:rsidR="00DB4EE6" w:rsidRPr="00C85A3B" w:rsidRDefault="00DB4EE6" w:rsidP="000D30E8">
      <w:pPr>
        <w:jc w:val="both"/>
        <w:rPr>
          <w:sz w:val="18"/>
          <w:szCs w:val="18"/>
        </w:rPr>
      </w:pPr>
      <w:r w:rsidRPr="00C85A3B">
        <w:rPr>
          <w:sz w:val="18"/>
          <w:szCs w:val="18"/>
        </w:rPr>
        <w:lastRenderedPageBreak/>
        <w:t xml:space="preserve">Tabela </w:t>
      </w:r>
      <w:r w:rsidR="00444674" w:rsidRPr="00C85A3B">
        <w:rPr>
          <w:sz w:val="18"/>
          <w:szCs w:val="18"/>
        </w:rPr>
        <w:fldChar w:fldCharType="begin"/>
      </w:r>
      <w:r w:rsidRPr="00C85A3B">
        <w:rPr>
          <w:sz w:val="18"/>
          <w:szCs w:val="18"/>
        </w:rPr>
        <w:instrText xml:space="preserve"> SEQ Tabela \* ARABIC </w:instrText>
      </w:r>
      <w:r w:rsidR="00444674" w:rsidRPr="00C85A3B">
        <w:rPr>
          <w:sz w:val="18"/>
          <w:szCs w:val="18"/>
        </w:rPr>
        <w:fldChar w:fldCharType="separate"/>
      </w:r>
      <w:r w:rsidR="009C68DE" w:rsidRPr="00C85A3B">
        <w:rPr>
          <w:sz w:val="18"/>
          <w:szCs w:val="18"/>
        </w:rPr>
        <w:t>2</w:t>
      </w:r>
      <w:r w:rsidR="00444674" w:rsidRPr="00C85A3B">
        <w:rPr>
          <w:sz w:val="18"/>
          <w:szCs w:val="18"/>
        </w:rPr>
        <w:fldChar w:fldCharType="end"/>
      </w:r>
      <w:r w:rsidRPr="00C85A3B">
        <w:rPr>
          <w:sz w:val="18"/>
          <w:szCs w:val="18"/>
        </w:rPr>
        <w:t>. Udział dopłat bezpośrednich w dochodach rolniczych państw UE w latach 2004 i 2009.</w:t>
      </w:r>
    </w:p>
    <w:tbl>
      <w:tblPr>
        <w:tblStyle w:val="Tabela-Siatka"/>
        <w:tblW w:w="7905" w:type="dxa"/>
        <w:jc w:val="center"/>
        <w:tblLayout w:type="fixed"/>
        <w:tblLook w:val="04A0"/>
      </w:tblPr>
      <w:tblGrid>
        <w:gridCol w:w="1344"/>
        <w:gridCol w:w="851"/>
        <w:gridCol w:w="1134"/>
        <w:gridCol w:w="1276"/>
        <w:gridCol w:w="850"/>
        <w:gridCol w:w="1134"/>
        <w:gridCol w:w="1316"/>
      </w:tblGrid>
      <w:tr w:rsidR="00564D7E" w:rsidRPr="00C85A3B" w:rsidTr="00C85A3B">
        <w:trPr>
          <w:trHeight w:val="170"/>
          <w:jc w:val="center"/>
        </w:trPr>
        <w:tc>
          <w:tcPr>
            <w:tcW w:w="1344" w:type="dxa"/>
            <w:vMerge w:val="restart"/>
            <w:noWrap/>
            <w:vAlign w:val="center"/>
            <w:hideMark/>
          </w:tcPr>
          <w:p w:rsidR="00564D7E" w:rsidRPr="00C85A3B" w:rsidRDefault="00564D7E" w:rsidP="000B6351">
            <w:pPr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Kraj</w:t>
            </w:r>
          </w:p>
        </w:tc>
        <w:tc>
          <w:tcPr>
            <w:tcW w:w="6561" w:type="dxa"/>
            <w:gridSpan w:val="6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Rok</w:t>
            </w:r>
          </w:p>
        </w:tc>
      </w:tr>
      <w:tr w:rsidR="000D30E8" w:rsidRPr="00C85A3B" w:rsidTr="00C85A3B">
        <w:trPr>
          <w:trHeight w:val="170"/>
          <w:jc w:val="center"/>
        </w:trPr>
        <w:tc>
          <w:tcPr>
            <w:tcW w:w="1344" w:type="dxa"/>
            <w:vMerge/>
            <w:noWrap/>
            <w:vAlign w:val="center"/>
            <w:hideMark/>
          </w:tcPr>
          <w:p w:rsidR="00564D7E" w:rsidRPr="00C85A3B" w:rsidRDefault="00564D7E" w:rsidP="000B63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2004</w:t>
            </w:r>
          </w:p>
        </w:tc>
        <w:tc>
          <w:tcPr>
            <w:tcW w:w="3300" w:type="dxa"/>
            <w:gridSpan w:val="3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2009</w:t>
            </w:r>
          </w:p>
        </w:tc>
      </w:tr>
      <w:tr w:rsidR="00C85A3B" w:rsidRPr="00C85A3B" w:rsidTr="00C85A3B">
        <w:trPr>
          <w:trHeight w:val="170"/>
          <w:jc w:val="center"/>
        </w:trPr>
        <w:tc>
          <w:tcPr>
            <w:tcW w:w="1344" w:type="dxa"/>
            <w:vMerge/>
            <w:noWrap/>
            <w:vAlign w:val="center"/>
            <w:hideMark/>
          </w:tcPr>
          <w:p w:rsidR="00564D7E" w:rsidRPr="00C85A3B" w:rsidRDefault="00564D7E" w:rsidP="000B63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Dochód rolniczy (euro)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Dopłaty do działalności operacyjnej (euro)</w:t>
            </w:r>
          </w:p>
        </w:tc>
        <w:tc>
          <w:tcPr>
            <w:tcW w:w="127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Udział dopłat bezpośrednich w dochodach rolniczych (%)</w:t>
            </w:r>
          </w:p>
        </w:tc>
        <w:tc>
          <w:tcPr>
            <w:tcW w:w="850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Dochód rolniczy (euro)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Dopłaty do działalności operacyjnej (euro)</w:t>
            </w:r>
          </w:p>
        </w:tc>
        <w:tc>
          <w:tcPr>
            <w:tcW w:w="131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Udział dopłat bezpośrednich w dochodach rolniczych (%)</w:t>
            </w:r>
          </w:p>
        </w:tc>
      </w:tr>
      <w:tr w:rsidR="00601BD3" w:rsidRPr="00C85A3B" w:rsidTr="00C85A3B">
        <w:trPr>
          <w:trHeight w:val="170"/>
          <w:jc w:val="center"/>
        </w:trPr>
        <w:tc>
          <w:tcPr>
            <w:tcW w:w="1344" w:type="dxa"/>
            <w:noWrap/>
            <w:vAlign w:val="center"/>
            <w:hideMark/>
          </w:tcPr>
          <w:p w:rsidR="00564D7E" w:rsidRPr="00C85A3B" w:rsidRDefault="00564D7E" w:rsidP="000B6351">
            <w:pPr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Austria</w:t>
            </w:r>
          </w:p>
        </w:tc>
        <w:tc>
          <w:tcPr>
            <w:tcW w:w="851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25179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19222</w:t>
            </w:r>
          </w:p>
        </w:tc>
        <w:tc>
          <w:tcPr>
            <w:tcW w:w="127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76%</w:t>
            </w:r>
          </w:p>
        </w:tc>
        <w:tc>
          <w:tcPr>
            <w:tcW w:w="850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23546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20929</w:t>
            </w:r>
          </w:p>
        </w:tc>
        <w:tc>
          <w:tcPr>
            <w:tcW w:w="131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89%</w:t>
            </w:r>
          </w:p>
        </w:tc>
      </w:tr>
      <w:tr w:rsidR="00601BD3" w:rsidRPr="00C85A3B" w:rsidTr="00C85A3B">
        <w:trPr>
          <w:trHeight w:val="58"/>
          <w:jc w:val="center"/>
        </w:trPr>
        <w:tc>
          <w:tcPr>
            <w:tcW w:w="1344" w:type="dxa"/>
            <w:noWrap/>
            <w:vAlign w:val="center"/>
            <w:hideMark/>
          </w:tcPr>
          <w:p w:rsidR="00564D7E" w:rsidRPr="00C85A3B" w:rsidRDefault="00564D7E" w:rsidP="000B6351">
            <w:pPr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Belgia</w:t>
            </w:r>
          </w:p>
        </w:tc>
        <w:tc>
          <w:tcPr>
            <w:tcW w:w="851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45660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15834</w:t>
            </w:r>
          </w:p>
        </w:tc>
        <w:tc>
          <w:tcPr>
            <w:tcW w:w="127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35%</w:t>
            </w:r>
          </w:p>
        </w:tc>
        <w:tc>
          <w:tcPr>
            <w:tcW w:w="850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41330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24469</w:t>
            </w:r>
          </w:p>
        </w:tc>
        <w:tc>
          <w:tcPr>
            <w:tcW w:w="131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59%</w:t>
            </w:r>
          </w:p>
        </w:tc>
      </w:tr>
      <w:tr w:rsidR="00601BD3" w:rsidRPr="00C85A3B" w:rsidTr="00C85A3B">
        <w:trPr>
          <w:trHeight w:val="170"/>
          <w:jc w:val="center"/>
        </w:trPr>
        <w:tc>
          <w:tcPr>
            <w:tcW w:w="1344" w:type="dxa"/>
            <w:noWrap/>
            <w:vAlign w:val="center"/>
            <w:hideMark/>
          </w:tcPr>
          <w:p w:rsidR="00564D7E" w:rsidRPr="00C85A3B" w:rsidRDefault="00564D7E" w:rsidP="000B6351">
            <w:pPr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Bułgaria*</w:t>
            </w:r>
          </w:p>
        </w:tc>
        <w:tc>
          <w:tcPr>
            <w:tcW w:w="851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4664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2167</w:t>
            </w:r>
          </w:p>
        </w:tc>
        <w:tc>
          <w:tcPr>
            <w:tcW w:w="127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46%</w:t>
            </w:r>
          </w:p>
        </w:tc>
        <w:tc>
          <w:tcPr>
            <w:tcW w:w="850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4096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5466</w:t>
            </w:r>
          </w:p>
        </w:tc>
        <w:tc>
          <w:tcPr>
            <w:tcW w:w="131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133%</w:t>
            </w:r>
          </w:p>
        </w:tc>
      </w:tr>
      <w:tr w:rsidR="00601BD3" w:rsidRPr="00C85A3B" w:rsidTr="00C85A3B">
        <w:trPr>
          <w:trHeight w:val="170"/>
          <w:jc w:val="center"/>
        </w:trPr>
        <w:tc>
          <w:tcPr>
            <w:tcW w:w="1344" w:type="dxa"/>
            <w:noWrap/>
            <w:vAlign w:val="center"/>
            <w:hideMark/>
          </w:tcPr>
          <w:p w:rsidR="00564D7E" w:rsidRPr="00C85A3B" w:rsidRDefault="00564D7E" w:rsidP="000B6351">
            <w:pPr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Cypr</w:t>
            </w:r>
          </w:p>
        </w:tc>
        <w:tc>
          <w:tcPr>
            <w:tcW w:w="851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3086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3096</w:t>
            </w:r>
          </w:p>
        </w:tc>
        <w:tc>
          <w:tcPr>
            <w:tcW w:w="127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7182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3403</w:t>
            </w:r>
          </w:p>
        </w:tc>
        <w:tc>
          <w:tcPr>
            <w:tcW w:w="131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47%</w:t>
            </w:r>
          </w:p>
        </w:tc>
      </w:tr>
      <w:tr w:rsidR="00601BD3" w:rsidRPr="00C85A3B" w:rsidTr="00C85A3B">
        <w:trPr>
          <w:trHeight w:val="170"/>
          <w:jc w:val="center"/>
        </w:trPr>
        <w:tc>
          <w:tcPr>
            <w:tcW w:w="1344" w:type="dxa"/>
            <w:noWrap/>
            <w:vAlign w:val="center"/>
            <w:hideMark/>
          </w:tcPr>
          <w:p w:rsidR="00564D7E" w:rsidRPr="000B6351" w:rsidRDefault="00564D7E" w:rsidP="000B6351">
            <w:pPr>
              <w:rPr>
                <w:rFonts w:cs="Times New Roman"/>
                <w:b/>
                <w:sz w:val="18"/>
                <w:szCs w:val="18"/>
              </w:rPr>
            </w:pPr>
            <w:r w:rsidRPr="000B6351">
              <w:rPr>
                <w:rFonts w:cs="Times New Roman"/>
                <w:b/>
                <w:sz w:val="18"/>
                <w:szCs w:val="18"/>
              </w:rPr>
              <w:t>Czechy</w:t>
            </w:r>
          </w:p>
        </w:tc>
        <w:tc>
          <w:tcPr>
            <w:tcW w:w="851" w:type="dxa"/>
            <w:noWrap/>
            <w:vAlign w:val="center"/>
            <w:hideMark/>
          </w:tcPr>
          <w:p w:rsidR="00564D7E" w:rsidRPr="000B6351" w:rsidRDefault="00564D7E" w:rsidP="00C85A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6351">
              <w:rPr>
                <w:rFonts w:cs="Times New Roman"/>
                <w:b/>
                <w:sz w:val="18"/>
                <w:szCs w:val="18"/>
              </w:rPr>
              <w:t>26601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0B6351" w:rsidRDefault="00564D7E" w:rsidP="00C85A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6351">
              <w:rPr>
                <w:rFonts w:cs="Times New Roman"/>
                <w:b/>
                <w:sz w:val="18"/>
                <w:szCs w:val="18"/>
              </w:rPr>
              <w:t>37509</w:t>
            </w:r>
          </w:p>
        </w:tc>
        <w:tc>
          <w:tcPr>
            <w:tcW w:w="1276" w:type="dxa"/>
            <w:noWrap/>
            <w:vAlign w:val="center"/>
            <w:hideMark/>
          </w:tcPr>
          <w:p w:rsidR="00564D7E" w:rsidRPr="000B6351" w:rsidRDefault="00564D7E" w:rsidP="00C85A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6351">
              <w:rPr>
                <w:rFonts w:cs="Times New Roman"/>
                <w:b/>
                <w:sz w:val="18"/>
                <w:szCs w:val="18"/>
              </w:rPr>
              <w:t>141%</w:t>
            </w:r>
          </w:p>
        </w:tc>
        <w:tc>
          <w:tcPr>
            <w:tcW w:w="850" w:type="dxa"/>
            <w:noWrap/>
            <w:vAlign w:val="center"/>
            <w:hideMark/>
          </w:tcPr>
          <w:p w:rsidR="00564D7E" w:rsidRPr="000B6351" w:rsidRDefault="00564D7E" w:rsidP="00C85A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6351">
              <w:rPr>
                <w:rFonts w:cs="Times New Roman"/>
                <w:b/>
                <w:sz w:val="18"/>
                <w:szCs w:val="18"/>
              </w:rPr>
              <w:t>9941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0B6351" w:rsidRDefault="00564D7E" w:rsidP="00C85A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6351">
              <w:rPr>
                <w:rFonts w:cs="Times New Roman"/>
                <w:b/>
                <w:sz w:val="18"/>
                <w:szCs w:val="18"/>
              </w:rPr>
              <w:t>76786</w:t>
            </w:r>
          </w:p>
        </w:tc>
        <w:tc>
          <w:tcPr>
            <w:tcW w:w="1316" w:type="dxa"/>
            <w:noWrap/>
            <w:vAlign w:val="center"/>
            <w:hideMark/>
          </w:tcPr>
          <w:p w:rsidR="00564D7E" w:rsidRPr="000B6351" w:rsidRDefault="00564D7E" w:rsidP="00C85A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6351">
              <w:rPr>
                <w:rFonts w:cs="Times New Roman"/>
                <w:b/>
                <w:sz w:val="18"/>
                <w:szCs w:val="18"/>
              </w:rPr>
              <w:t>772%</w:t>
            </w:r>
          </w:p>
        </w:tc>
      </w:tr>
      <w:tr w:rsidR="00601BD3" w:rsidRPr="00C85A3B" w:rsidTr="00C85A3B">
        <w:trPr>
          <w:trHeight w:val="170"/>
          <w:jc w:val="center"/>
        </w:trPr>
        <w:tc>
          <w:tcPr>
            <w:tcW w:w="1344" w:type="dxa"/>
            <w:noWrap/>
            <w:vAlign w:val="center"/>
            <w:hideMark/>
          </w:tcPr>
          <w:p w:rsidR="00564D7E" w:rsidRPr="00C85A3B" w:rsidRDefault="00564D7E" w:rsidP="000B6351">
            <w:pPr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Dania**</w:t>
            </w:r>
          </w:p>
        </w:tc>
        <w:tc>
          <w:tcPr>
            <w:tcW w:w="851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6167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24969</w:t>
            </w:r>
          </w:p>
        </w:tc>
        <w:tc>
          <w:tcPr>
            <w:tcW w:w="127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405%</w:t>
            </w:r>
          </w:p>
        </w:tc>
        <w:tc>
          <w:tcPr>
            <w:tcW w:w="850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-40272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34537</w:t>
            </w:r>
          </w:p>
        </w:tc>
        <w:tc>
          <w:tcPr>
            <w:tcW w:w="131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601BD3" w:rsidRPr="00C85A3B" w:rsidTr="00C85A3B">
        <w:trPr>
          <w:trHeight w:val="170"/>
          <w:jc w:val="center"/>
        </w:trPr>
        <w:tc>
          <w:tcPr>
            <w:tcW w:w="1344" w:type="dxa"/>
            <w:noWrap/>
            <w:vAlign w:val="center"/>
            <w:hideMark/>
          </w:tcPr>
          <w:p w:rsidR="00564D7E" w:rsidRPr="00C85A3B" w:rsidRDefault="00564D7E" w:rsidP="000B6351">
            <w:pPr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Estonia</w:t>
            </w:r>
          </w:p>
        </w:tc>
        <w:tc>
          <w:tcPr>
            <w:tcW w:w="851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19248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12191</w:t>
            </w:r>
          </w:p>
        </w:tc>
        <w:tc>
          <w:tcPr>
            <w:tcW w:w="127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63%</w:t>
            </w:r>
          </w:p>
        </w:tc>
        <w:tc>
          <w:tcPr>
            <w:tcW w:w="850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11460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20614</w:t>
            </w:r>
          </w:p>
        </w:tc>
        <w:tc>
          <w:tcPr>
            <w:tcW w:w="131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180%</w:t>
            </w:r>
          </w:p>
        </w:tc>
      </w:tr>
      <w:tr w:rsidR="00601BD3" w:rsidRPr="00C85A3B" w:rsidTr="00C85A3B">
        <w:trPr>
          <w:trHeight w:val="170"/>
          <w:jc w:val="center"/>
        </w:trPr>
        <w:tc>
          <w:tcPr>
            <w:tcW w:w="1344" w:type="dxa"/>
            <w:noWrap/>
            <w:vAlign w:val="center"/>
            <w:hideMark/>
          </w:tcPr>
          <w:p w:rsidR="00564D7E" w:rsidRPr="00C85A3B" w:rsidRDefault="00564D7E" w:rsidP="000B6351">
            <w:pPr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Finlandia</w:t>
            </w:r>
          </w:p>
        </w:tc>
        <w:tc>
          <w:tcPr>
            <w:tcW w:w="851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20316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41627</w:t>
            </w:r>
          </w:p>
        </w:tc>
        <w:tc>
          <w:tcPr>
            <w:tcW w:w="127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205%</w:t>
            </w:r>
          </w:p>
        </w:tc>
        <w:tc>
          <w:tcPr>
            <w:tcW w:w="850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17691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49211</w:t>
            </w:r>
          </w:p>
        </w:tc>
        <w:tc>
          <w:tcPr>
            <w:tcW w:w="131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278%</w:t>
            </w:r>
          </w:p>
        </w:tc>
      </w:tr>
      <w:tr w:rsidR="00601BD3" w:rsidRPr="00C85A3B" w:rsidTr="00C85A3B">
        <w:trPr>
          <w:trHeight w:val="170"/>
          <w:jc w:val="center"/>
        </w:trPr>
        <w:tc>
          <w:tcPr>
            <w:tcW w:w="1344" w:type="dxa"/>
            <w:noWrap/>
            <w:vAlign w:val="center"/>
            <w:hideMark/>
          </w:tcPr>
          <w:p w:rsidR="00564D7E" w:rsidRPr="00C85A3B" w:rsidRDefault="00564D7E" w:rsidP="000B6351">
            <w:pPr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Francja</w:t>
            </w:r>
          </w:p>
        </w:tc>
        <w:tc>
          <w:tcPr>
            <w:tcW w:w="851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28321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26442</w:t>
            </w:r>
          </w:p>
        </w:tc>
        <w:tc>
          <w:tcPr>
            <w:tcW w:w="127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93%</w:t>
            </w:r>
          </w:p>
        </w:tc>
        <w:tc>
          <w:tcPr>
            <w:tcW w:w="850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15459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27773</w:t>
            </w:r>
          </w:p>
        </w:tc>
        <w:tc>
          <w:tcPr>
            <w:tcW w:w="131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180%</w:t>
            </w:r>
          </w:p>
        </w:tc>
      </w:tr>
      <w:tr w:rsidR="00601BD3" w:rsidRPr="00C85A3B" w:rsidTr="00C85A3B">
        <w:trPr>
          <w:trHeight w:val="170"/>
          <w:jc w:val="center"/>
        </w:trPr>
        <w:tc>
          <w:tcPr>
            <w:tcW w:w="1344" w:type="dxa"/>
            <w:noWrap/>
            <w:vAlign w:val="center"/>
            <w:hideMark/>
          </w:tcPr>
          <w:p w:rsidR="00564D7E" w:rsidRPr="00C85A3B" w:rsidRDefault="00564D7E" w:rsidP="000B6351">
            <w:pPr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Grecja</w:t>
            </w:r>
          </w:p>
        </w:tc>
        <w:tc>
          <w:tcPr>
            <w:tcW w:w="851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10860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4162</w:t>
            </w:r>
          </w:p>
        </w:tc>
        <w:tc>
          <w:tcPr>
            <w:tcW w:w="127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38%</w:t>
            </w:r>
          </w:p>
        </w:tc>
        <w:tc>
          <w:tcPr>
            <w:tcW w:w="850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10762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6223</w:t>
            </w:r>
          </w:p>
        </w:tc>
        <w:tc>
          <w:tcPr>
            <w:tcW w:w="131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58%</w:t>
            </w:r>
          </w:p>
        </w:tc>
      </w:tr>
      <w:tr w:rsidR="00601BD3" w:rsidRPr="00C85A3B" w:rsidTr="00C85A3B">
        <w:trPr>
          <w:trHeight w:val="170"/>
          <w:jc w:val="center"/>
        </w:trPr>
        <w:tc>
          <w:tcPr>
            <w:tcW w:w="1344" w:type="dxa"/>
            <w:noWrap/>
            <w:vAlign w:val="center"/>
            <w:hideMark/>
          </w:tcPr>
          <w:p w:rsidR="00564D7E" w:rsidRPr="000B6351" w:rsidRDefault="00564D7E" w:rsidP="000B6351">
            <w:pPr>
              <w:rPr>
                <w:rFonts w:cs="Times New Roman"/>
                <w:b/>
                <w:sz w:val="18"/>
                <w:szCs w:val="18"/>
              </w:rPr>
            </w:pPr>
            <w:r w:rsidRPr="000B6351">
              <w:rPr>
                <w:rFonts w:cs="Times New Roman"/>
                <w:b/>
                <w:sz w:val="18"/>
                <w:szCs w:val="18"/>
              </w:rPr>
              <w:t>Hiszpania</w:t>
            </w:r>
          </w:p>
        </w:tc>
        <w:tc>
          <w:tcPr>
            <w:tcW w:w="851" w:type="dxa"/>
            <w:noWrap/>
            <w:vAlign w:val="center"/>
            <w:hideMark/>
          </w:tcPr>
          <w:p w:rsidR="00564D7E" w:rsidRPr="000B6351" w:rsidRDefault="00564D7E" w:rsidP="00C85A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6351">
              <w:rPr>
                <w:rFonts w:cs="Times New Roman"/>
                <w:b/>
                <w:sz w:val="18"/>
                <w:szCs w:val="18"/>
              </w:rPr>
              <w:t>22637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0B6351" w:rsidRDefault="00564D7E" w:rsidP="00C85A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6351">
              <w:rPr>
                <w:rFonts w:cs="Times New Roman"/>
                <w:b/>
                <w:sz w:val="18"/>
                <w:szCs w:val="18"/>
              </w:rPr>
              <w:t>6131</w:t>
            </w:r>
          </w:p>
        </w:tc>
        <w:tc>
          <w:tcPr>
            <w:tcW w:w="1276" w:type="dxa"/>
            <w:noWrap/>
            <w:vAlign w:val="center"/>
            <w:hideMark/>
          </w:tcPr>
          <w:p w:rsidR="00564D7E" w:rsidRPr="000B6351" w:rsidRDefault="00564D7E" w:rsidP="00C85A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6351">
              <w:rPr>
                <w:rFonts w:cs="Times New Roman"/>
                <w:b/>
                <w:sz w:val="18"/>
                <w:szCs w:val="18"/>
              </w:rPr>
              <w:t>27%</w:t>
            </w:r>
          </w:p>
        </w:tc>
        <w:tc>
          <w:tcPr>
            <w:tcW w:w="850" w:type="dxa"/>
            <w:noWrap/>
            <w:vAlign w:val="center"/>
            <w:hideMark/>
          </w:tcPr>
          <w:p w:rsidR="00564D7E" w:rsidRPr="000B6351" w:rsidRDefault="00564D7E" w:rsidP="00C85A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6351">
              <w:rPr>
                <w:rFonts w:cs="Times New Roman"/>
                <w:b/>
                <w:sz w:val="18"/>
                <w:szCs w:val="18"/>
              </w:rPr>
              <w:t>19662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0B6351" w:rsidRDefault="00564D7E" w:rsidP="00C85A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6351">
              <w:rPr>
                <w:rFonts w:cs="Times New Roman"/>
                <w:b/>
                <w:sz w:val="18"/>
                <w:szCs w:val="18"/>
              </w:rPr>
              <w:t>8540</w:t>
            </w:r>
          </w:p>
        </w:tc>
        <w:tc>
          <w:tcPr>
            <w:tcW w:w="1316" w:type="dxa"/>
            <w:noWrap/>
            <w:vAlign w:val="center"/>
            <w:hideMark/>
          </w:tcPr>
          <w:p w:rsidR="00564D7E" w:rsidRPr="000B6351" w:rsidRDefault="00564D7E" w:rsidP="00C85A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6351">
              <w:rPr>
                <w:rFonts w:cs="Times New Roman"/>
                <w:b/>
                <w:sz w:val="18"/>
                <w:szCs w:val="18"/>
              </w:rPr>
              <w:t>43%</w:t>
            </w:r>
          </w:p>
        </w:tc>
      </w:tr>
      <w:tr w:rsidR="00601BD3" w:rsidRPr="00C85A3B" w:rsidTr="00C85A3B">
        <w:trPr>
          <w:trHeight w:val="170"/>
          <w:jc w:val="center"/>
        </w:trPr>
        <w:tc>
          <w:tcPr>
            <w:tcW w:w="1344" w:type="dxa"/>
            <w:noWrap/>
            <w:vAlign w:val="center"/>
            <w:hideMark/>
          </w:tcPr>
          <w:p w:rsidR="00564D7E" w:rsidRPr="00C85A3B" w:rsidRDefault="00564D7E" w:rsidP="000B6351">
            <w:pPr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Irlandia</w:t>
            </w:r>
          </w:p>
        </w:tc>
        <w:tc>
          <w:tcPr>
            <w:tcW w:w="851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17204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15543</w:t>
            </w:r>
          </w:p>
        </w:tc>
        <w:tc>
          <w:tcPr>
            <w:tcW w:w="127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90%</w:t>
            </w:r>
          </w:p>
        </w:tc>
        <w:tc>
          <w:tcPr>
            <w:tcW w:w="850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17090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20026</w:t>
            </w:r>
          </w:p>
        </w:tc>
        <w:tc>
          <w:tcPr>
            <w:tcW w:w="131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117%</w:t>
            </w:r>
          </w:p>
        </w:tc>
      </w:tr>
      <w:tr w:rsidR="00601BD3" w:rsidRPr="00C85A3B" w:rsidTr="00C85A3B">
        <w:trPr>
          <w:trHeight w:val="170"/>
          <w:jc w:val="center"/>
        </w:trPr>
        <w:tc>
          <w:tcPr>
            <w:tcW w:w="1344" w:type="dxa"/>
            <w:noWrap/>
            <w:vAlign w:val="center"/>
            <w:hideMark/>
          </w:tcPr>
          <w:p w:rsidR="00564D7E" w:rsidRPr="00C85A3B" w:rsidRDefault="00564D7E" w:rsidP="000B6351">
            <w:pPr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Litwa</w:t>
            </w:r>
          </w:p>
        </w:tc>
        <w:tc>
          <w:tcPr>
            <w:tcW w:w="851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12313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5873</w:t>
            </w:r>
          </w:p>
        </w:tc>
        <w:tc>
          <w:tcPr>
            <w:tcW w:w="127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48%</w:t>
            </w:r>
          </w:p>
        </w:tc>
        <w:tc>
          <w:tcPr>
            <w:tcW w:w="850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14747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9332</w:t>
            </w:r>
          </w:p>
        </w:tc>
        <w:tc>
          <w:tcPr>
            <w:tcW w:w="131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63%</w:t>
            </w:r>
          </w:p>
        </w:tc>
      </w:tr>
      <w:tr w:rsidR="00601BD3" w:rsidRPr="00C85A3B" w:rsidTr="00C85A3B">
        <w:trPr>
          <w:trHeight w:val="170"/>
          <w:jc w:val="center"/>
        </w:trPr>
        <w:tc>
          <w:tcPr>
            <w:tcW w:w="1344" w:type="dxa"/>
            <w:noWrap/>
            <w:vAlign w:val="center"/>
            <w:hideMark/>
          </w:tcPr>
          <w:p w:rsidR="00564D7E" w:rsidRPr="00C85A3B" w:rsidRDefault="00564D7E" w:rsidP="000B6351">
            <w:pPr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Luksemburg</w:t>
            </w:r>
          </w:p>
        </w:tc>
        <w:tc>
          <w:tcPr>
            <w:tcW w:w="851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37440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36297</w:t>
            </w:r>
          </w:p>
        </w:tc>
        <w:tc>
          <w:tcPr>
            <w:tcW w:w="127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97%</w:t>
            </w:r>
          </w:p>
        </w:tc>
        <w:tc>
          <w:tcPr>
            <w:tcW w:w="850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25262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42823</w:t>
            </w:r>
          </w:p>
        </w:tc>
        <w:tc>
          <w:tcPr>
            <w:tcW w:w="131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170%</w:t>
            </w:r>
          </w:p>
        </w:tc>
      </w:tr>
      <w:tr w:rsidR="00601BD3" w:rsidRPr="00C85A3B" w:rsidTr="00C85A3B">
        <w:trPr>
          <w:trHeight w:val="170"/>
          <w:jc w:val="center"/>
        </w:trPr>
        <w:tc>
          <w:tcPr>
            <w:tcW w:w="1344" w:type="dxa"/>
            <w:noWrap/>
            <w:vAlign w:val="center"/>
            <w:hideMark/>
          </w:tcPr>
          <w:p w:rsidR="00564D7E" w:rsidRPr="00C85A3B" w:rsidRDefault="00564D7E" w:rsidP="000B6351">
            <w:pPr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Łotwa</w:t>
            </w:r>
          </w:p>
        </w:tc>
        <w:tc>
          <w:tcPr>
            <w:tcW w:w="851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9580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7711</w:t>
            </w:r>
          </w:p>
        </w:tc>
        <w:tc>
          <w:tcPr>
            <w:tcW w:w="127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80%</w:t>
            </w:r>
          </w:p>
        </w:tc>
        <w:tc>
          <w:tcPr>
            <w:tcW w:w="850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7285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13284</w:t>
            </w:r>
          </w:p>
        </w:tc>
        <w:tc>
          <w:tcPr>
            <w:tcW w:w="131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182%</w:t>
            </w:r>
          </w:p>
        </w:tc>
      </w:tr>
      <w:tr w:rsidR="00601BD3" w:rsidRPr="00C85A3B" w:rsidTr="00C85A3B">
        <w:trPr>
          <w:trHeight w:val="170"/>
          <w:jc w:val="center"/>
        </w:trPr>
        <w:tc>
          <w:tcPr>
            <w:tcW w:w="1344" w:type="dxa"/>
            <w:noWrap/>
            <w:vAlign w:val="center"/>
            <w:hideMark/>
          </w:tcPr>
          <w:p w:rsidR="00564D7E" w:rsidRPr="00C85A3B" w:rsidRDefault="00564D7E" w:rsidP="000B6351">
            <w:pPr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Malta</w:t>
            </w:r>
          </w:p>
        </w:tc>
        <w:tc>
          <w:tcPr>
            <w:tcW w:w="851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22115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9399</w:t>
            </w:r>
          </w:p>
        </w:tc>
        <w:tc>
          <w:tcPr>
            <w:tcW w:w="127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43%</w:t>
            </w:r>
          </w:p>
        </w:tc>
        <w:tc>
          <w:tcPr>
            <w:tcW w:w="850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14343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6370</w:t>
            </w:r>
          </w:p>
        </w:tc>
        <w:tc>
          <w:tcPr>
            <w:tcW w:w="131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44%</w:t>
            </w:r>
          </w:p>
        </w:tc>
      </w:tr>
      <w:tr w:rsidR="00601BD3" w:rsidRPr="00C85A3B" w:rsidTr="00C85A3B">
        <w:trPr>
          <w:trHeight w:val="170"/>
          <w:jc w:val="center"/>
        </w:trPr>
        <w:tc>
          <w:tcPr>
            <w:tcW w:w="1344" w:type="dxa"/>
            <w:noWrap/>
            <w:vAlign w:val="center"/>
            <w:hideMark/>
          </w:tcPr>
          <w:p w:rsidR="00564D7E" w:rsidRPr="00C85A3B" w:rsidRDefault="00564D7E" w:rsidP="000B6351">
            <w:pPr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Rumunia*</w:t>
            </w:r>
          </w:p>
        </w:tc>
        <w:tc>
          <w:tcPr>
            <w:tcW w:w="851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3334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1787</w:t>
            </w:r>
          </w:p>
        </w:tc>
        <w:tc>
          <w:tcPr>
            <w:tcW w:w="127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54%</w:t>
            </w:r>
          </w:p>
        </w:tc>
        <w:tc>
          <w:tcPr>
            <w:tcW w:w="850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4664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1799</w:t>
            </w:r>
          </w:p>
        </w:tc>
        <w:tc>
          <w:tcPr>
            <w:tcW w:w="131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39%</w:t>
            </w:r>
          </w:p>
        </w:tc>
      </w:tr>
      <w:tr w:rsidR="00601BD3" w:rsidRPr="00C85A3B" w:rsidTr="00C85A3B">
        <w:trPr>
          <w:trHeight w:val="170"/>
          <w:jc w:val="center"/>
        </w:trPr>
        <w:tc>
          <w:tcPr>
            <w:tcW w:w="1344" w:type="dxa"/>
            <w:noWrap/>
            <w:vAlign w:val="center"/>
            <w:hideMark/>
          </w:tcPr>
          <w:p w:rsidR="00564D7E" w:rsidRPr="00C85A3B" w:rsidRDefault="00564D7E" w:rsidP="000B6351">
            <w:pPr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Niderlandy</w:t>
            </w:r>
          </w:p>
        </w:tc>
        <w:tc>
          <w:tcPr>
            <w:tcW w:w="851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31425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9488</w:t>
            </w:r>
          </w:p>
        </w:tc>
        <w:tc>
          <w:tcPr>
            <w:tcW w:w="127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30%</w:t>
            </w:r>
          </w:p>
        </w:tc>
        <w:tc>
          <w:tcPr>
            <w:tcW w:w="850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15252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16898</w:t>
            </w:r>
          </w:p>
        </w:tc>
        <w:tc>
          <w:tcPr>
            <w:tcW w:w="131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111%</w:t>
            </w:r>
          </w:p>
        </w:tc>
      </w:tr>
      <w:tr w:rsidR="00601BD3" w:rsidRPr="00C85A3B" w:rsidTr="00C85A3B">
        <w:trPr>
          <w:trHeight w:val="170"/>
          <w:jc w:val="center"/>
        </w:trPr>
        <w:tc>
          <w:tcPr>
            <w:tcW w:w="1344" w:type="dxa"/>
            <w:noWrap/>
            <w:vAlign w:val="center"/>
            <w:hideMark/>
          </w:tcPr>
          <w:p w:rsidR="00564D7E" w:rsidRPr="00C85A3B" w:rsidRDefault="00564D7E" w:rsidP="000B6351">
            <w:pPr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Niemcy</w:t>
            </w:r>
          </w:p>
        </w:tc>
        <w:tc>
          <w:tcPr>
            <w:tcW w:w="851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31072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29788</w:t>
            </w:r>
          </w:p>
        </w:tc>
        <w:tc>
          <w:tcPr>
            <w:tcW w:w="127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96%</w:t>
            </w:r>
          </w:p>
        </w:tc>
        <w:tc>
          <w:tcPr>
            <w:tcW w:w="850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23713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35845</w:t>
            </w:r>
          </w:p>
        </w:tc>
        <w:tc>
          <w:tcPr>
            <w:tcW w:w="131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151%</w:t>
            </w:r>
          </w:p>
        </w:tc>
      </w:tr>
      <w:tr w:rsidR="00601BD3" w:rsidRPr="00C85A3B" w:rsidTr="00C85A3B">
        <w:trPr>
          <w:trHeight w:val="170"/>
          <w:jc w:val="center"/>
        </w:trPr>
        <w:tc>
          <w:tcPr>
            <w:tcW w:w="1344" w:type="dxa"/>
            <w:noWrap/>
            <w:vAlign w:val="center"/>
            <w:hideMark/>
          </w:tcPr>
          <w:p w:rsidR="00564D7E" w:rsidRPr="00C85A3B" w:rsidRDefault="00564D7E" w:rsidP="000B6351">
            <w:pPr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Polska</w:t>
            </w:r>
          </w:p>
        </w:tc>
        <w:tc>
          <w:tcPr>
            <w:tcW w:w="851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6071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1957</w:t>
            </w:r>
          </w:p>
        </w:tc>
        <w:tc>
          <w:tcPr>
            <w:tcW w:w="127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32%</w:t>
            </w:r>
          </w:p>
        </w:tc>
        <w:tc>
          <w:tcPr>
            <w:tcW w:w="850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6684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5116</w:t>
            </w:r>
          </w:p>
        </w:tc>
        <w:tc>
          <w:tcPr>
            <w:tcW w:w="131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77%</w:t>
            </w:r>
          </w:p>
        </w:tc>
      </w:tr>
      <w:tr w:rsidR="00601BD3" w:rsidRPr="00C85A3B" w:rsidTr="00C85A3B">
        <w:trPr>
          <w:trHeight w:val="170"/>
          <w:jc w:val="center"/>
        </w:trPr>
        <w:tc>
          <w:tcPr>
            <w:tcW w:w="1344" w:type="dxa"/>
            <w:noWrap/>
            <w:vAlign w:val="center"/>
            <w:hideMark/>
          </w:tcPr>
          <w:p w:rsidR="00564D7E" w:rsidRPr="00C85A3B" w:rsidRDefault="00564D7E" w:rsidP="000B6351">
            <w:pPr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Portugalia</w:t>
            </w:r>
          </w:p>
        </w:tc>
        <w:tc>
          <w:tcPr>
            <w:tcW w:w="851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6734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4393</w:t>
            </w:r>
          </w:p>
        </w:tc>
        <w:tc>
          <w:tcPr>
            <w:tcW w:w="127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65%</w:t>
            </w:r>
          </w:p>
        </w:tc>
        <w:tc>
          <w:tcPr>
            <w:tcW w:w="850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10128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6044</w:t>
            </w:r>
          </w:p>
        </w:tc>
        <w:tc>
          <w:tcPr>
            <w:tcW w:w="131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60%</w:t>
            </w:r>
          </w:p>
        </w:tc>
      </w:tr>
      <w:tr w:rsidR="00601BD3" w:rsidRPr="00C85A3B" w:rsidTr="00C85A3B">
        <w:trPr>
          <w:trHeight w:val="170"/>
          <w:jc w:val="center"/>
        </w:trPr>
        <w:tc>
          <w:tcPr>
            <w:tcW w:w="1344" w:type="dxa"/>
            <w:noWrap/>
            <w:vAlign w:val="center"/>
            <w:hideMark/>
          </w:tcPr>
          <w:p w:rsidR="00564D7E" w:rsidRPr="00C85A3B" w:rsidRDefault="00564D7E" w:rsidP="000B6351">
            <w:pPr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Słowacja**</w:t>
            </w:r>
          </w:p>
        </w:tc>
        <w:tc>
          <w:tcPr>
            <w:tcW w:w="851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-8266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52041</w:t>
            </w:r>
          </w:p>
        </w:tc>
        <w:tc>
          <w:tcPr>
            <w:tcW w:w="127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-112557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180149</w:t>
            </w:r>
          </w:p>
        </w:tc>
        <w:tc>
          <w:tcPr>
            <w:tcW w:w="131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601BD3" w:rsidRPr="00C85A3B" w:rsidTr="00C85A3B">
        <w:trPr>
          <w:trHeight w:val="170"/>
          <w:jc w:val="center"/>
        </w:trPr>
        <w:tc>
          <w:tcPr>
            <w:tcW w:w="1344" w:type="dxa"/>
            <w:noWrap/>
            <w:vAlign w:val="center"/>
            <w:hideMark/>
          </w:tcPr>
          <w:p w:rsidR="00564D7E" w:rsidRPr="00C85A3B" w:rsidRDefault="00564D7E" w:rsidP="000B6351">
            <w:pPr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Słowenia</w:t>
            </w:r>
          </w:p>
        </w:tc>
        <w:tc>
          <w:tcPr>
            <w:tcW w:w="851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20316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41627</w:t>
            </w:r>
          </w:p>
        </w:tc>
        <w:tc>
          <w:tcPr>
            <w:tcW w:w="127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205%</w:t>
            </w:r>
          </w:p>
        </w:tc>
        <w:tc>
          <w:tcPr>
            <w:tcW w:w="850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7814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8606</w:t>
            </w:r>
          </w:p>
        </w:tc>
        <w:tc>
          <w:tcPr>
            <w:tcW w:w="131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110%</w:t>
            </w:r>
          </w:p>
        </w:tc>
      </w:tr>
      <w:tr w:rsidR="00601BD3" w:rsidRPr="00C85A3B" w:rsidTr="00C85A3B">
        <w:trPr>
          <w:trHeight w:val="170"/>
          <w:jc w:val="center"/>
        </w:trPr>
        <w:tc>
          <w:tcPr>
            <w:tcW w:w="1344" w:type="dxa"/>
            <w:noWrap/>
            <w:vAlign w:val="center"/>
            <w:hideMark/>
          </w:tcPr>
          <w:p w:rsidR="00564D7E" w:rsidRPr="000B6351" w:rsidRDefault="00564D7E" w:rsidP="000B6351">
            <w:pPr>
              <w:rPr>
                <w:rFonts w:cs="Times New Roman"/>
                <w:b/>
                <w:sz w:val="18"/>
                <w:szCs w:val="18"/>
              </w:rPr>
            </w:pPr>
            <w:r w:rsidRPr="000B6351">
              <w:rPr>
                <w:rFonts w:cs="Times New Roman"/>
                <w:b/>
                <w:sz w:val="18"/>
                <w:szCs w:val="18"/>
              </w:rPr>
              <w:t>Szwecja</w:t>
            </w:r>
          </w:p>
        </w:tc>
        <w:tc>
          <w:tcPr>
            <w:tcW w:w="851" w:type="dxa"/>
            <w:noWrap/>
            <w:vAlign w:val="center"/>
            <w:hideMark/>
          </w:tcPr>
          <w:p w:rsidR="00564D7E" w:rsidRPr="000B6351" w:rsidRDefault="00564D7E" w:rsidP="00C85A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6351">
              <w:rPr>
                <w:rFonts w:cs="Times New Roman"/>
                <w:b/>
                <w:sz w:val="18"/>
                <w:szCs w:val="18"/>
              </w:rPr>
              <w:t>6459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0B6351" w:rsidRDefault="00564D7E" w:rsidP="00C85A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6351">
              <w:rPr>
                <w:rFonts w:cs="Times New Roman"/>
                <w:b/>
                <w:sz w:val="18"/>
                <w:szCs w:val="18"/>
              </w:rPr>
              <w:t>29536</w:t>
            </w:r>
          </w:p>
        </w:tc>
        <w:tc>
          <w:tcPr>
            <w:tcW w:w="1276" w:type="dxa"/>
            <w:noWrap/>
            <w:vAlign w:val="center"/>
            <w:hideMark/>
          </w:tcPr>
          <w:p w:rsidR="00564D7E" w:rsidRPr="000B6351" w:rsidRDefault="00564D7E" w:rsidP="00C85A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6351">
              <w:rPr>
                <w:rFonts w:cs="Times New Roman"/>
                <w:b/>
                <w:sz w:val="18"/>
                <w:szCs w:val="18"/>
              </w:rPr>
              <w:t>457%</w:t>
            </w:r>
          </w:p>
        </w:tc>
        <w:tc>
          <w:tcPr>
            <w:tcW w:w="850" w:type="dxa"/>
            <w:noWrap/>
            <w:vAlign w:val="center"/>
            <w:hideMark/>
          </w:tcPr>
          <w:p w:rsidR="00564D7E" w:rsidRPr="000B6351" w:rsidRDefault="00564D7E" w:rsidP="00C85A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6351">
              <w:rPr>
                <w:rFonts w:cs="Times New Roman"/>
                <w:b/>
                <w:sz w:val="18"/>
                <w:szCs w:val="18"/>
              </w:rPr>
              <w:t>6288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0B6351" w:rsidRDefault="00564D7E" w:rsidP="00C85A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6351">
              <w:rPr>
                <w:rFonts w:cs="Times New Roman"/>
                <w:b/>
                <w:sz w:val="18"/>
                <w:szCs w:val="18"/>
              </w:rPr>
              <w:t>34325</w:t>
            </w:r>
          </w:p>
        </w:tc>
        <w:tc>
          <w:tcPr>
            <w:tcW w:w="1316" w:type="dxa"/>
            <w:noWrap/>
            <w:vAlign w:val="center"/>
            <w:hideMark/>
          </w:tcPr>
          <w:p w:rsidR="00564D7E" w:rsidRPr="000B6351" w:rsidRDefault="00564D7E" w:rsidP="00C85A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6351">
              <w:rPr>
                <w:rFonts w:cs="Times New Roman"/>
                <w:b/>
                <w:sz w:val="18"/>
                <w:szCs w:val="18"/>
              </w:rPr>
              <w:t>546%</w:t>
            </w:r>
          </w:p>
        </w:tc>
      </w:tr>
      <w:tr w:rsidR="00601BD3" w:rsidRPr="00C85A3B" w:rsidTr="00C85A3B">
        <w:trPr>
          <w:trHeight w:val="170"/>
          <w:jc w:val="center"/>
        </w:trPr>
        <w:tc>
          <w:tcPr>
            <w:tcW w:w="1344" w:type="dxa"/>
            <w:noWrap/>
            <w:vAlign w:val="center"/>
            <w:hideMark/>
          </w:tcPr>
          <w:p w:rsidR="00564D7E" w:rsidRPr="00C85A3B" w:rsidRDefault="00564D7E" w:rsidP="000B6351">
            <w:pPr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Węgry</w:t>
            </w:r>
          </w:p>
        </w:tc>
        <w:tc>
          <w:tcPr>
            <w:tcW w:w="851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6866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9657</w:t>
            </w:r>
          </w:p>
        </w:tc>
        <w:tc>
          <w:tcPr>
            <w:tcW w:w="127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141%</w:t>
            </w:r>
          </w:p>
        </w:tc>
        <w:tc>
          <w:tcPr>
            <w:tcW w:w="850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7859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14032</w:t>
            </w:r>
          </w:p>
        </w:tc>
        <w:tc>
          <w:tcPr>
            <w:tcW w:w="131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179%</w:t>
            </w:r>
          </w:p>
        </w:tc>
      </w:tr>
      <w:tr w:rsidR="00601BD3" w:rsidRPr="00C85A3B" w:rsidTr="00C85A3B">
        <w:trPr>
          <w:trHeight w:val="170"/>
          <w:jc w:val="center"/>
        </w:trPr>
        <w:tc>
          <w:tcPr>
            <w:tcW w:w="1344" w:type="dxa"/>
            <w:noWrap/>
            <w:vAlign w:val="center"/>
            <w:hideMark/>
          </w:tcPr>
          <w:p w:rsidR="00564D7E" w:rsidRPr="00C85A3B" w:rsidRDefault="00564D7E" w:rsidP="000B6351">
            <w:pPr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Wielka Brytania</w:t>
            </w:r>
          </w:p>
        </w:tc>
        <w:tc>
          <w:tcPr>
            <w:tcW w:w="851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6808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7206</w:t>
            </w:r>
          </w:p>
        </w:tc>
        <w:tc>
          <w:tcPr>
            <w:tcW w:w="127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106%</w:t>
            </w:r>
          </w:p>
        </w:tc>
        <w:tc>
          <w:tcPr>
            <w:tcW w:w="850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43018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45342</w:t>
            </w:r>
          </w:p>
        </w:tc>
        <w:tc>
          <w:tcPr>
            <w:tcW w:w="1316" w:type="dxa"/>
            <w:noWrap/>
            <w:vAlign w:val="center"/>
            <w:hideMark/>
          </w:tcPr>
          <w:p w:rsidR="00564D7E" w:rsidRPr="00C85A3B" w:rsidRDefault="00564D7E" w:rsidP="00C85A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5A3B">
              <w:rPr>
                <w:rFonts w:cs="Times New Roman"/>
                <w:sz w:val="18"/>
                <w:szCs w:val="18"/>
              </w:rPr>
              <w:t>105%</w:t>
            </w:r>
          </w:p>
        </w:tc>
      </w:tr>
      <w:tr w:rsidR="00601BD3" w:rsidRPr="00C85A3B" w:rsidTr="00C85A3B">
        <w:trPr>
          <w:trHeight w:val="170"/>
          <w:jc w:val="center"/>
        </w:trPr>
        <w:tc>
          <w:tcPr>
            <w:tcW w:w="1344" w:type="dxa"/>
            <w:noWrap/>
            <w:vAlign w:val="center"/>
            <w:hideMark/>
          </w:tcPr>
          <w:p w:rsidR="00564D7E" w:rsidRPr="000B6351" w:rsidRDefault="00564D7E" w:rsidP="000B6351">
            <w:pPr>
              <w:rPr>
                <w:rFonts w:cs="Times New Roman"/>
                <w:b/>
                <w:sz w:val="18"/>
                <w:szCs w:val="18"/>
              </w:rPr>
            </w:pPr>
            <w:r w:rsidRPr="000B6351">
              <w:rPr>
                <w:rFonts w:cs="Times New Roman"/>
                <w:b/>
                <w:sz w:val="18"/>
                <w:szCs w:val="18"/>
              </w:rPr>
              <w:t>Włochy</w:t>
            </w:r>
          </w:p>
        </w:tc>
        <w:tc>
          <w:tcPr>
            <w:tcW w:w="851" w:type="dxa"/>
            <w:noWrap/>
            <w:vAlign w:val="center"/>
            <w:hideMark/>
          </w:tcPr>
          <w:p w:rsidR="00564D7E" w:rsidRPr="000B6351" w:rsidRDefault="00564D7E" w:rsidP="00C85A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6351">
              <w:rPr>
                <w:rFonts w:cs="Times New Roman"/>
                <w:b/>
                <w:sz w:val="18"/>
                <w:szCs w:val="18"/>
              </w:rPr>
              <w:t>21972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0B6351" w:rsidRDefault="00564D7E" w:rsidP="00C85A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6351">
              <w:rPr>
                <w:rFonts w:cs="Times New Roman"/>
                <w:b/>
                <w:sz w:val="18"/>
                <w:szCs w:val="18"/>
              </w:rPr>
              <w:t>5198</w:t>
            </w:r>
          </w:p>
        </w:tc>
        <w:tc>
          <w:tcPr>
            <w:tcW w:w="1276" w:type="dxa"/>
            <w:noWrap/>
            <w:vAlign w:val="center"/>
            <w:hideMark/>
          </w:tcPr>
          <w:p w:rsidR="00564D7E" w:rsidRPr="000B6351" w:rsidRDefault="00564D7E" w:rsidP="00C85A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6351">
              <w:rPr>
                <w:rFonts w:cs="Times New Roman"/>
                <w:b/>
                <w:sz w:val="18"/>
                <w:szCs w:val="18"/>
              </w:rPr>
              <w:t>24%</w:t>
            </w:r>
          </w:p>
        </w:tc>
        <w:tc>
          <w:tcPr>
            <w:tcW w:w="850" w:type="dxa"/>
            <w:noWrap/>
            <w:vAlign w:val="center"/>
            <w:hideMark/>
          </w:tcPr>
          <w:p w:rsidR="00564D7E" w:rsidRPr="000B6351" w:rsidRDefault="00564D7E" w:rsidP="00C85A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6351">
              <w:rPr>
                <w:rFonts w:cs="Times New Roman"/>
                <w:b/>
                <w:sz w:val="18"/>
                <w:szCs w:val="18"/>
              </w:rPr>
              <w:t>24256</w:t>
            </w:r>
          </w:p>
        </w:tc>
        <w:tc>
          <w:tcPr>
            <w:tcW w:w="1134" w:type="dxa"/>
            <w:noWrap/>
            <w:vAlign w:val="center"/>
            <w:hideMark/>
          </w:tcPr>
          <w:p w:rsidR="00564D7E" w:rsidRPr="000B6351" w:rsidRDefault="00564D7E" w:rsidP="00C85A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6351">
              <w:rPr>
                <w:rFonts w:cs="Times New Roman"/>
                <w:b/>
                <w:sz w:val="18"/>
                <w:szCs w:val="18"/>
              </w:rPr>
              <w:t>5782</w:t>
            </w:r>
          </w:p>
        </w:tc>
        <w:tc>
          <w:tcPr>
            <w:tcW w:w="1316" w:type="dxa"/>
            <w:noWrap/>
            <w:vAlign w:val="center"/>
            <w:hideMark/>
          </w:tcPr>
          <w:p w:rsidR="00564D7E" w:rsidRPr="000B6351" w:rsidRDefault="00564D7E" w:rsidP="00C85A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6351">
              <w:rPr>
                <w:rFonts w:cs="Times New Roman"/>
                <w:b/>
                <w:sz w:val="18"/>
                <w:szCs w:val="18"/>
              </w:rPr>
              <w:t>24%</w:t>
            </w:r>
          </w:p>
        </w:tc>
      </w:tr>
    </w:tbl>
    <w:p w:rsidR="002454D8" w:rsidRPr="00B821E9" w:rsidRDefault="002454D8" w:rsidP="000D30E8">
      <w:pPr>
        <w:jc w:val="both"/>
        <w:rPr>
          <w:sz w:val="18"/>
          <w:szCs w:val="18"/>
        </w:rPr>
      </w:pPr>
      <w:r w:rsidRPr="00B821E9">
        <w:rPr>
          <w:sz w:val="18"/>
          <w:szCs w:val="18"/>
        </w:rPr>
        <w:t>*dla wskazanych państw dane za rok 2007 i 2009</w:t>
      </w:r>
    </w:p>
    <w:p w:rsidR="0090092D" w:rsidRPr="00B821E9" w:rsidRDefault="0090092D" w:rsidP="000D30E8">
      <w:pPr>
        <w:jc w:val="both"/>
        <w:rPr>
          <w:sz w:val="18"/>
          <w:szCs w:val="18"/>
        </w:rPr>
      </w:pPr>
      <w:r w:rsidRPr="00B821E9">
        <w:rPr>
          <w:sz w:val="18"/>
          <w:szCs w:val="18"/>
        </w:rPr>
        <w:t>** dla wskazanych państw</w:t>
      </w:r>
      <w:r w:rsidR="00E470E6" w:rsidRPr="00B821E9">
        <w:rPr>
          <w:sz w:val="18"/>
          <w:szCs w:val="18"/>
        </w:rPr>
        <w:t xml:space="preserve"> nie określono udziału dopłat w dochodach rolniczych w związku z ujemnymi wynikami na działalności rolniczej jakie osiągnęły gospodarstwa w tych krajach mimo wysokich transferów jakie otrzymują </w:t>
      </w:r>
    </w:p>
    <w:p w:rsidR="009662F0" w:rsidRPr="00B821E9" w:rsidRDefault="00543676" w:rsidP="000D30E8">
      <w:pPr>
        <w:jc w:val="both"/>
        <w:rPr>
          <w:sz w:val="18"/>
          <w:szCs w:val="18"/>
        </w:rPr>
      </w:pPr>
      <w:r w:rsidRPr="00B821E9">
        <w:rPr>
          <w:sz w:val="18"/>
          <w:szCs w:val="18"/>
        </w:rPr>
        <w:t>Źródło: Opracowanie własne na podstawie Raportu Standardowego FADN Komisji Europejskiej</w:t>
      </w:r>
      <w:r w:rsidR="001F65F0" w:rsidRPr="00B821E9">
        <w:rPr>
          <w:sz w:val="18"/>
          <w:szCs w:val="18"/>
        </w:rPr>
        <w:t xml:space="preserve">, dane z dnia </w:t>
      </w:r>
      <w:r w:rsidR="009662F0" w:rsidRPr="00B821E9">
        <w:rPr>
          <w:sz w:val="18"/>
          <w:szCs w:val="18"/>
        </w:rPr>
        <w:t xml:space="preserve">12.02.2013r. </w:t>
      </w:r>
    </w:p>
    <w:p w:rsidR="00C12B4A" w:rsidRPr="000D30E8" w:rsidRDefault="009B567E" w:rsidP="000D30E8">
      <w:pPr>
        <w:jc w:val="both"/>
      </w:pPr>
      <w:r w:rsidRPr="000D30E8">
        <w:tab/>
        <w:t>Jako najbardziej dochodowe można uznać</w:t>
      </w:r>
      <w:r w:rsidR="002156EB" w:rsidRPr="000D30E8">
        <w:t xml:space="preserve"> gospodarstwa</w:t>
      </w:r>
      <w:r w:rsidRPr="000D30E8">
        <w:t xml:space="preserve"> Belgi,</w:t>
      </w:r>
      <w:r w:rsidR="002156EB" w:rsidRPr="000D30E8">
        <w:t xml:space="preserve"> Wielkiej Brytanii,</w:t>
      </w:r>
      <w:r w:rsidRPr="000D30E8">
        <w:t xml:space="preserve"> Włoch, Niemiec,</w:t>
      </w:r>
      <w:r w:rsidR="002156EB" w:rsidRPr="000D30E8">
        <w:t xml:space="preserve"> Luksemburga,</w:t>
      </w:r>
      <w:r w:rsidRPr="000D30E8">
        <w:t xml:space="preserve"> Austri</w:t>
      </w:r>
      <w:r w:rsidR="002156EB" w:rsidRPr="000D30E8">
        <w:t>i i Hiszpanii.</w:t>
      </w:r>
      <w:r w:rsidRPr="000D30E8">
        <w:t xml:space="preserve"> </w:t>
      </w:r>
      <w:r w:rsidR="0039460E" w:rsidRPr="000D30E8">
        <w:br/>
      </w:r>
      <w:r w:rsidR="002156EB" w:rsidRPr="000D30E8">
        <w:t xml:space="preserve">W tych państwach dochód rolniczy w 2009 roku </w:t>
      </w:r>
      <w:r w:rsidR="00E3270B" w:rsidRPr="000D30E8">
        <w:t xml:space="preserve">kształtował się między </w:t>
      </w:r>
      <w:r w:rsidR="002156EB" w:rsidRPr="000D30E8">
        <w:t xml:space="preserve"> 43000 do 20000</w:t>
      </w:r>
      <w:r w:rsidR="00E3270B" w:rsidRPr="000D30E8">
        <w:t xml:space="preserve"> euro</w:t>
      </w:r>
      <w:r w:rsidR="002156EB" w:rsidRPr="000D30E8">
        <w:t>.</w:t>
      </w:r>
      <w:r w:rsidR="005D2B90" w:rsidRPr="000D30E8">
        <w:t xml:space="preserve"> </w:t>
      </w:r>
      <w:r w:rsidR="00E3270B" w:rsidRPr="000D30E8">
        <w:t xml:space="preserve">W ujęciu względnym </w:t>
      </w:r>
      <w:r w:rsidR="00F5717C">
        <w:t>dopłaty miały najmniejszy udział</w:t>
      </w:r>
      <w:r w:rsidR="00184F51" w:rsidRPr="000D30E8">
        <w:t xml:space="preserve"> </w:t>
      </w:r>
      <w:r w:rsidR="00F5717C">
        <w:t xml:space="preserve">w dochodach </w:t>
      </w:r>
      <w:r w:rsidR="00184F51" w:rsidRPr="000D30E8">
        <w:t>we Włoszech. W 2009</w:t>
      </w:r>
      <w:r w:rsidR="002156EB" w:rsidRPr="000D30E8">
        <w:t xml:space="preserve"> </w:t>
      </w:r>
      <w:r w:rsidR="00184F51" w:rsidRPr="000D30E8">
        <w:t xml:space="preserve">dotacje do podstawowej działalności włoskich gospodarstw stanowiły </w:t>
      </w:r>
      <w:r w:rsidR="002156EB" w:rsidRPr="000D30E8">
        <w:t xml:space="preserve">24 % </w:t>
      </w:r>
      <w:r w:rsidR="00184F51" w:rsidRPr="000D30E8">
        <w:t>w stosunku do dochodów jakie osiągnęły</w:t>
      </w:r>
      <w:r w:rsidR="002156EB" w:rsidRPr="000D30E8">
        <w:t>.</w:t>
      </w:r>
      <w:r w:rsidR="00D03F25" w:rsidRPr="000D30E8">
        <w:t xml:space="preserve"> W 2009 roku dochód Hiszpań</w:t>
      </w:r>
      <w:r w:rsidR="003143F2" w:rsidRPr="000D30E8">
        <w:t xml:space="preserve">skiego rolnika </w:t>
      </w:r>
      <w:r w:rsidR="00F5717C">
        <w:br/>
      </w:r>
      <w:r w:rsidR="003143F2" w:rsidRPr="000D30E8">
        <w:t xml:space="preserve">w 43 % </w:t>
      </w:r>
      <w:r w:rsidR="00184F51" w:rsidRPr="000D30E8">
        <w:t>tworzony by</w:t>
      </w:r>
      <w:r w:rsidR="003143F2" w:rsidRPr="000D30E8">
        <w:t>ł</w:t>
      </w:r>
      <w:r w:rsidR="00184F51" w:rsidRPr="000D30E8">
        <w:t xml:space="preserve"> poprzez dopłaty</w:t>
      </w:r>
      <w:r w:rsidR="003143F2" w:rsidRPr="000D30E8">
        <w:t xml:space="preserve">, a Belgijskiego w 59%. </w:t>
      </w:r>
    </w:p>
    <w:p w:rsidR="003143F2" w:rsidRPr="000D30E8" w:rsidRDefault="003143F2" w:rsidP="000D30E8">
      <w:pPr>
        <w:jc w:val="both"/>
      </w:pPr>
      <w:r w:rsidRPr="000D30E8">
        <w:lastRenderedPageBreak/>
        <w:tab/>
        <w:t>Przeciętne polskie gospodarstwo w 2009 roku uzyskało dochód na poziomie ok</w:t>
      </w:r>
      <w:r w:rsidR="00D03F25" w:rsidRPr="000D30E8">
        <w:t>.</w:t>
      </w:r>
      <w:r w:rsidRPr="000D30E8">
        <w:t xml:space="preserve"> </w:t>
      </w:r>
      <w:r w:rsidR="008E586C" w:rsidRPr="000D30E8">
        <w:t>6700</w:t>
      </w:r>
      <w:r w:rsidR="00D03F25" w:rsidRPr="000D30E8">
        <w:t xml:space="preserve"> euro</w:t>
      </w:r>
      <w:r w:rsidR="008E586C" w:rsidRPr="000D30E8">
        <w:t xml:space="preserve"> i w 77% był on </w:t>
      </w:r>
      <w:r w:rsidR="00477755" w:rsidRPr="000D30E8">
        <w:t>tworzony</w:t>
      </w:r>
      <w:r w:rsidR="008E586C" w:rsidRPr="000D30E8">
        <w:t xml:space="preserve"> z dopłat do działalności operacy</w:t>
      </w:r>
      <w:r w:rsidR="00477755" w:rsidRPr="000D30E8">
        <w:t>jnej. Możemy uznać, że Polska</w:t>
      </w:r>
      <w:r w:rsidR="008E586C" w:rsidRPr="000D30E8">
        <w:t xml:space="preserve"> znajduje się w sytuacji podobnej do Cypru czy Portugali, gdzie przy porównywalnej wielkości wygenerowanego dochodu wystąpił 47% udział dopłat w dochodzie dla Cypru i 60 % udział dopłat w dochodach rolników z Portugali. </w:t>
      </w:r>
    </w:p>
    <w:p w:rsidR="008E586C" w:rsidRPr="000D30E8" w:rsidRDefault="008E586C" w:rsidP="000D30E8">
      <w:pPr>
        <w:jc w:val="both"/>
      </w:pPr>
      <w:r w:rsidRPr="000D30E8">
        <w:tab/>
      </w:r>
      <w:r w:rsidR="00477755" w:rsidRPr="000D30E8">
        <w:t xml:space="preserve">Największy udział </w:t>
      </w:r>
      <w:r w:rsidRPr="000D30E8">
        <w:t xml:space="preserve">dopłat </w:t>
      </w:r>
      <w:r w:rsidR="00477755" w:rsidRPr="000D30E8">
        <w:t xml:space="preserve">w dochodzie wykazują gospodarstwa </w:t>
      </w:r>
      <w:r w:rsidR="00CB65FE">
        <w:br/>
      </w:r>
      <w:r w:rsidR="00477755" w:rsidRPr="000D30E8">
        <w:t>w Szwecji i Czechach</w:t>
      </w:r>
      <w:r w:rsidRPr="000D30E8">
        <w:t xml:space="preserve">. Szwedzcy rolnicy </w:t>
      </w:r>
      <w:r w:rsidR="00395B89" w:rsidRPr="000D30E8">
        <w:t>uzyskal</w:t>
      </w:r>
      <w:r w:rsidRPr="000D30E8">
        <w:t xml:space="preserve">i w 2009 roku przeciętnie 6000 </w:t>
      </w:r>
      <w:r w:rsidR="00395B89" w:rsidRPr="000D30E8">
        <w:t xml:space="preserve">euro </w:t>
      </w:r>
      <w:r w:rsidRPr="000D30E8">
        <w:t xml:space="preserve">dochodu, a dotacje do podstawowej działalności jakie otrzymali były 5-krotnie wyższe. W tym samym roku czescy producenci rolni </w:t>
      </w:r>
      <w:r w:rsidR="00395B89" w:rsidRPr="000D30E8">
        <w:t>osiągnęli</w:t>
      </w:r>
      <w:r w:rsidRPr="000D30E8">
        <w:t xml:space="preserve"> dochód na poziomie 10000</w:t>
      </w:r>
      <w:r w:rsidR="00395B89" w:rsidRPr="000D30E8">
        <w:t xml:space="preserve"> euro</w:t>
      </w:r>
      <w:r w:rsidRPr="000D30E8">
        <w:t xml:space="preserve">, a dopłaty jakie </w:t>
      </w:r>
      <w:r w:rsidR="00395B89" w:rsidRPr="000D30E8">
        <w:t>im przyznano</w:t>
      </w:r>
      <w:r w:rsidRPr="000D30E8">
        <w:t xml:space="preserve"> były 7-krotnie wyższe.</w:t>
      </w:r>
    </w:p>
    <w:p w:rsidR="00395B89" w:rsidRPr="000D30E8" w:rsidRDefault="008E586C" w:rsidP="000D30E8">
      <w:pPr>
        <w:jc w:val="both"/>
      </w:pPr>
      <w:r w:rsidRPr="000D30E8">
        <w:tab/>
        <w:t xml:space="preserve">Na szczególną uwagę zasługuje również Słowacja i Dania. W roku 2009 </w:t>
      </w:r>
      <w:r w:rsidR="001474BF" w:rsidRPr="000D30E8">
        <w:t xml:space="preserve">w </w:t>
      </w:r>
      <w:r w:rsidRPr="000D30E8">
        <w:t>tychże krajach gospodarstwa rolne odnotowały stratę</w:t>
      </w:r>
      <w:r w:rsidR="001474BF" w:rsidRPr="000D30E8">
        <w:t xml:space="preserve">. </w:t>
      </w:r>
      <w:r w:rsidR="00CB65FE">
        <w:br/>
      </w:r>
      <w:r w:rsidR="001474BF" w:rsidRPr="000D30E8">
        <w:t>W przypadku Danii wynika to z zasady dziedziczenia gospodarstw rolnych, w których następca kupuje gospodarstwo od rolnika, najczęściej poprzez korzystanie z kredytu</w:t>
      </w:r>
      <w:r w:rsidR="007E7D70" w:rsidRPr="000D30E8">
        <w:t>. Gospodarstwa w Słowacji charakteryzują się wysokimi kosztami amortyzacji i wynagrodzeń, które przewyższają uzyskiwane przychody przez rolników.</w:t>
      </w:r>
    </w:p>
    <w:p w:rsidR="00CF057E" w:rsidRDefault="00315162" w:rsidP="00B821E9">
      <w:pPr>
        <w:ind w:firstLine="708"/>
        <w:jc w:val="both"/>
      </w:pPr>
      <w:r w:rsidRPr="000D30E8">
        <w:t>Podsumowując można uznać, że Polskie gosp</w:t>
      </w:r>
      <w:r w:rsidR="007E7D70" w:rsidRPr="000D30E8">
        <w:t xml:space="preserve">odarstwa rolne osiągają relatywnie niskie </w:t>
      </w:r>
      <w:r w:rsidRPr="000D30E8">
        <w:t>d</w:t>
      </w:r>
      <w:r w:rsidR="00763147" w:rsidRPr="000D30E8">
        <w:t>ochody z działalności rolniczej w porównaniu do gospodarstw w pozostałych państwach UE i kształtują</w:t>
      </w:r>
      <w:r w:rsidRPr="000D30E8">
        <w:t xml:space="preserve"> się</w:t>
      </w:r>
      <w:r w:rsidR="00763147" w:rsidRPr="000D30E8">
        <w:t xml:space="preserve"> one</w:t>
      </w:r>
      <w:r w:rsidR="007E7D70" w:rsidRPr="000D30E8">
        <w:t xml:space="preserve"> na poziomie ok 7 tyś. euro</w:t>
      </w:r>
      <w:r w:rsidRPr="000D30E8">
        <w:t xml:space="preserve">. Należy jednak zaznaczyć, że w Polsce występuje duże rozdrobnienie produkcji, co utrudnia podnoszenie wydajności </w:t>
      </w:r>
      <w:r w:rsidR="00AD24ED">
        <w:br/>
        <w:t xml:space="preserve">i </w:t>
      </w:r>
      <w:r w:rsidRPr="000D30E8">
        <w:t>opłacaln</w:t>
      </w:r>
      <w:r w:rsidR="007E7D70" w:rsidRPr="000D30E8">
        <w:t>ości produkcji. Dochód polskich rolników przeciętnie w 77 % tworzą</w:t>
      </w:r>
      <w:r w:rsidRPr="000D30E8">
        <w:t xml:space="preserve"> dopła</w:t>
      </w:r>
      <w:r w:rsidR="007E7D70" w:rsidRPr="000D30E8">
        <w:t>ty do działalności operacyjnej. W</w:t>
      </w:r>
      <w:r w:rsidR="00763147" w:rsidRPr="000D30E8">
        <w:t xml:space="preserve"> 2009 roku dla</w:t>
      </w:r>
      <w:r w:rsidR="007E7D70" w:rsidRPr="000D30E8">
        <w:t xml:space="preserve"> 16 na 27 analizowanych państw</w:t>
      </w:r>
      <w:r w:rsidRPr="000D30E8">
        <w:t xml:space="preserve"> </w:t>
      </w:r>
      <w:r w:rsidR="00763147" w:rsidRPr="000D30E8">
        <w:t>wskaźnik ten przekracza 100%.</w:t>
      </w:r>
      <w:r w:rsidR="007E7D70" w:rsidRPr="000D30E8">
        <w:t xml:space="preserve"> Oznacza to, że dopłaty bezpośrednie we wszystkich krajach UE mają bardzo duże znaczenie w kształtowaniu dochodów rolniczych. Na przykładzie Polski widać, że </w:t>
      </w:r>
      <w:r w:rsidR="00BF3698" w:rsidRPr="000D30E8">
        <w:t>udział ten systematycznie rośnie.</w:t>
      </w:r>
      <w:r w:rsidR="007E7D70" w:rsidRPr="000D30E8">
        <w:t xml:space="preserve">  </w:t>
      </w:r>
    </w:p>
    <w:p w:rsidR="00315162" w:rsidRPr="000D30E8" w:rsidRDefault="007E7D70" w:rsidP="00B821E9">
      <w:pPr>
        <w:ind w:firstLine="708"/>
        <w:jc w:val="both"/>
      </w:pPr>
      <w:r w:rsidRPr="000D30E8">
        <w:t xml:space="preserve"> </w:t>
      </w:r>
    </w:p>
    <w:p w:rsidR="00C54FD0" w:rsidRPr="00CF057E" w:rsidRDefault="00CB65FE" w:rsidP="000D30E8">
      <w:pPr>
        <w:jc w:val="both"/>
        <w:rPr>
          <w:b/>
          <w:sz w:val="18"/>
          <w:szCs w:val="18"/>
        </w:rPr>
      </w:pPr>
      <w:r w:rsidRPr="00CF057E">
        <w:rPr>
          <w:b/>
          <w:sz w:val="18"/>
          <w:szCs w:val="18"/>
        </w:rPr>
        <w:t>BIBLIOGRAFIA:</w:t>
      </w:r>
    </w:p>
    <w:p w:rsidR="008656E2" w:rsidRPr="00CF057E" w:rsidRDefault="008656E2" w:rsidP="00AD24ED">
      <w:pPr>
        <w:tabs>
          <w:tab w:val="left" w:pos="5704"/>
        </w:tabs>
        <w:jc w:val="both"/>
        <w:rPr>
          <w:sz w:val="18"/>
          <w:szCs w:val="18"/>
        </w:rPr>
      </w:pPr>
      <w:r w:rsidRPr="00CF057E">
        <w:rPr>
          <w:sz w:val="18"/>
          <w:szCs w:val="18"/>
        </w:rPr>
        <w:t xml:space="preserve">Marks-Bielska R., </w:t>
      </w:r>
      <w:proofErr w:type="spellStart"/>
      <w:r w:rsidRPr="00CF057E">
        <w:rPr>
          <w:sz w:val="18"/>
          <w:szCs w:val="18"/>
        </w:rPr>
        <w:t>Babuchowska</w:t>
      </w:r>
      <w:proofErr w:type="spellEnd"/>
      <w:r w:rsidRPr="00CF057E">
        <w:rPr>
          <w:sz w:val="18"/>
          <w:szCs w:val="18"/>
        </w:rPr>
        <w:t xml:space="preserve"> K., 2010: Funkcjonowanie systemu</w:t>
      </w:r>
      <w:r w:rsidR="00AD24ED">
        <w:rPr>
          <w:sz w:val="18"/>
          <w:szCs w:val="18"/>
        </w:rPr>
        <w:t xml:space="preserve"> </w:t>
      </w:r>
      <w:r w:rsidRPr="00CF057E">
        <w:rPr>
          <w:sz w:val="18"/>
          <w:szCs w:val="18"/>
        </w:rPr>
        <w:t>dopłat bezpośrednich w Polsce i w innych krajach UE.</w:t>
      </w:r>
      <w:r w:rsidR="00667603" w:rsidRPr="00CF057E">
        <w:rPr>
          <w:sz w:val="18"/>
          <w:szCs w:val="18"/>
        </w:rPr>
        <w:t xml:space="preserve"> W:</w:t>
      </w:r>
      <w:r w:rsidRPr="00CF057E">
        <w:rPr>
          <w:sz w:val="18"/>
          <w:szCs w:val="18"/>
        </w:rPr>
        <w:t xml:space="preserve"> </w:t>
      </w:r>
      <w:proofErr w:type="spellStart"/>
      <w:r w:rsidRPr="00CF057E">
        <w:rPr>
          <w:sz w:val="18"/>
          <w:szCs w:val="18"/>
        </w:rPr>
        <w:t>Journal</w:t>
      </w:r>
      <w:proofErr w:type="spellEnd"/>
      <w:r w:rsidRPr="00CF057E">
        <w:rPr>
          <w:sz w:val="18"/>
          <w:szCs w:val="18"/>
        </w:rPr>
        <w:t xml:space="preserve"> of </w:t>
      </w:r>
      <w:proofErr w:type="spellStart"/>
      <w:r w:rsidRPr="00CF057E">
        <w:rPr>
          <w:sz w:val="18"/>
          <w:szCs w:val="18"/>
        </w:rPr>
        <w:t>Agribusiness</w:t>
      </w:r>
      <w:proofErr w:type="spellEnd"/>
      <w:r w:rsidRPr="00CF057E">
        <w:rPr>
          <w:sz w:val="18"/>
          <w:szCs w:val="18"/>
        </w:rPr>
        <w:t xml:space="preserve"> and </w:t>
      </w:r>
      <w:proofErr w:type="spellStart"/>
      <w:r w:rsidRPr="00CF057E">
        <w:rPr>
          <w:sz w:val="18"/>
          <w:szCs w:val="18"/>
        </w:rPr>
        <w:t>Rural</w:t>
      </w:r>
      <w:proofErr w:type="spellEnd"/>
      <w:r w:rsidRPr="00CF057E">
        <w:rPr>
          <w:sz w:val="18"/>
          <w:szCs w:val="18"/>
        </w:rPr>
        <w:t xml:space="preserve"> </w:t>
      </w:r>
      <w:r w:rsidR="00AD24ED">
        <w:rPr>
          <w:sz w:val="18"/>
          <w:szCs w:val="18"/>
        </w:rPr>
        <w:t>D</w:t>
      </w:r>
      <w:r w:rsidRPr="00CF057E">
        <w:rPr>
          <w:sz w:val="18"/>
          <w:szCs w:val="18"/>
        </w:rPr>
        <w:t>evelopment,</w:t>
      </w:r>
      <w:r w:rsidR="00AD24ED">
        <w:rPr>
          <w:sz w:val="18"/>
          <w:szCs w:val="18"/>
        </w:rPr>
        <w:t xml:space="preserve"> 3 (17) 2010 </w:t>
      </w:r>
      <w:r w:rsidRPr="00CF057E">
        <w:rPr>
          <w:sz w:val="18"/>
          <w:szCs w:val="18"/>
        </w:rPr>
        <w:t>www.jard.edu.pl</w:t>
      </w:r>
    </w:p>
    <w:p w:rsidR="00EC0369" w:rsidRPr="00CF057E" w:rsidRDefault="00C54FD0" w:rsidP="000D30E8">
      <w:pPr>
        <w:jc w:val="both"/>
        <w:rPr>
          <w:sz w:val="18"/>
          <w:szCs w:val="18"/>
        </w:rPr>
      </w:pPr>
      <w:r w:rsidRPr="00CF057E">
        <w:rPr>
          <w:sz w:val="18"/>
          <w:szCs w:val="18"/>
        </w:rPr>
        <w:t xml:space="preserve">Czyżewski A., </w:t>
      </w:r>
      <w:proofErr w:type="spellStart"/>
      <w:r w:rsidRPr="00CF057E">
        <w:rPr>
          <w:sz w:val="18"/>
          <w:szCs w:val="18"/>
        </w:rPr>
        <w:t>Henisz</w:t>
      </w:r>
      <w:proofErr w:type="spellEnd"/>
      <w:r w:rsidRPr="00CF057E">
        <w:rPr>
          <w:sz w:val="18"/>
          <w:szCs w:val="18"/>
        </w:rPr>
        <w:t>- Matuszczak A.: 2006. Rolnictwo Unii Europejskiej i Polski, Wydawnictwo Akademii Ekonomicznej w Poznaniu, Poznań, s.</w:t>
      </w:r>
      <w:r w:rsidR="00EC0369" w:rsidRPr="00CF057E">
        <w:rPr>
          <w:sz w:val="18"/>
          <w:szCs w:val="18"/>
        </w:rPr>
        <w:t>121-156.</w:t>
      </w:r>
    </w:p>
    <w:p w:rsidR="005862C6" w:rsidRPr="00CF057E" w:rsidRDefault="007B10C0" w:rsidP="000D30E8">
      <w:pPr>
        <w:jc w:val="both"/>
        <w:rPr>
          <w:sz w:val="18"/>
          <w:szCs w:val="18"/>
        </w:rPr>
      </w:pPr>
      <w:r w:rsidRPr="00CF057E">
        <w:rPr>
          <w:sz w:val="18"/>
          <w:szCs w:val="18"/>
        </w:rPr>
        <w:t xml:space="preserve">Kutkowska B., 2009: </w:t>
      </w:r>
      <w:proofErr w:type="spellStart"/>
      <w:r w:rsidR="005862C6" w:rsidRPr="00CF057E">
        <w:rPr>
          <w:sz w:val="18"/>
          <w:szCs w:val="18"/>
        </w:rPr>
        <w:t>Journal</w:t>
      </w:r>
      <w:proofErr w:type="spellEnd"/>
      <w:r w:rsidR="005862C6" w:rsidRPr="00CF057E">
        <w:rPr>
          <w:sz w:val="18"/>
          <w:szCs w:val="18"/>
        </w:rPr>
        <w:t xml:space="preserve"> of </w:t>
      </w:r>
      <w:proofErr w:type="spellStart"/>
      <w:r w:rsidR="005862C6" w:rsidRPr="00CF057E">
        <w:rPr>
          <w:sz w:val="18"/>
          <w:szCs w:val="18"/>
        </w:rPr>
        <w:t>Agribusiness</w:t>
      </w:r>
      <w:proofErr w:type="spellEnd"/>
      <w:r w:rsidR="005862C6" w:rsidRPr="00CF057E">
        <w:rPr>
          <w:sz w:val="18"/>
          <w:szCs w:val="18"/>
        </w:rPr>
        <w:t xml:space="preserve"> and </w:t>
      </w:r>
      <w:proofErr w:type="spellStart"/>
      <w:r w:rsidR="005862C6" w:rsidRPr="00CF057E">
        <w:rPr>
          <w:sz w:val="18"/>
          <w:szCs w:val="18"/>
        </w:rPr>
        <w:t>Rural</w:t>
      </w:r>
      <w:proofErr w:type="spellEnd"/>
      <w:r w:rsidR="005862C6" w:rsidRPr="00CF057E">
        <w:rPr>
          <w:sz w:val="18"/>
          <w:szCs w:val="18"/>
        </w:rPr>
        <w:t xml:space="preserve"> Development www.jard.edu.pl 2(12) 2009, </w:t>
      </w:r>
      <w:r w:rsidRPr="00CF057E">
        <w:rPr>
          <w:sz w:val="18"/>
          <w:szCs w:val="18"/>
        </w:rPr>
        <w:t>s.102</w:t>
      </w:r>
    </w:p>
    <w:p w:rsidR="00784C64" w:rsidRPr="00CF057E" w:rsidRDefault="00CF057E" w:rsidP="000D30E8">
      <w:pPr>
        <w:jc w:val="both"/>
        <w:rPr>
          <w:sz w:val="18"/>
          <w:szCs w:val="18"/>
        </w:rPr>
      </w:pPr>
      <w:r w:rsidRPr="00CF057E">
        <w:rPr>
          <w:sz w:val="18"/>
          <w:szCs w:val="18"/>
        </w:rPr>
        <w:t>Sobczyński</w:t>
      </w:r>
      <w:r w:rsidR="00784C64" w:rsidRPr="00CF057E">
        <w:rPr>
          <w:sz w:val="18"/>
          <w:szCs w:val="18"/>
        </w:rPr>
        <w:t xml:space="preserve"> T.: Zmiany udziału dopłat w dochodach gospodarstw rolniczych UE w latach 1989-2005. [W:] Polityka Unii Europejskiej. D. </w:t>
      </w:r>
      <w:proofErr w:type="spellStart"/>
      <w:r w:rsidR="00784C64" w:rsidRPr="00CF057E">
        <w:rPr>
          <w:sz w:val="18"/>
          <w:szCs w:val="18"/>
        </w:rPr>
        <w:t>Kopycińska</w:t>
      </w:r>
      <w:proofErr w:type="spellEnd"/>
      <w:r w:rsidR="00784C64" w:rsidRPr="00CF057E">
        <w:rPr>
          <w:sz w:val="18"/>
          <w:szCs w:val="18"/>
        </w:rPr>
        <w:t xml:space="preserve"> (red.). Katedra </w:t>
      </w:r>
      <w:proofErr w:type="spellStart"/>
      <w:r w:rsidR="00784C64" w:rsidRPr="00CF057E">
        <w:rPr>
          <w:sz w:val="18"/>
          <w:szCs w:val="18"/>
        </w:rPr>
        <w:t>Mikroekon</w:t>
      </w:r>
      <w:proofErr w:type="spellEnd"/>
      <w:r w:rsidR="00784C64" w:rsidRPr="00CF057E">
        <w:rPr>
          <w:sz w:val="18"/>
          <w:szCs w:val="18"/>
        </w:rPr>
        <w:t xml:space="preserve">. Uniwersytetu </w:t>
      </w:r>
      <w:r w:rsidR="0083772A">
        <w:rPr>
          <w:sz w:val="18"/>
          <w:szCs w:val="18"/>
        </w:rPr>
        <w:t xml:space="preserve">Szczecińskiego, Szczecin 2008, </w:t>
      </w:r>
      <w:r w:rsidR="00784C64" w:rsidRPr="00CF057E">
        <w:rPr>
          <w:sz w:val="18"/>
          <w:szCs w:val="18"/>
        </w:rPr>
        <w:t>s. 36-50</w:t>
      </w:r>
    </w:p>
    <w:p w:rsidR="00697AA2" w:rsidRPr="000D30E8" w:rsidRDefault="00697AA2" w:rsidP="000D30E8">
      <w:pPr>
        <w:jc w:val="both"/>
      </w:pPr>
    </w:p>
    <w:sectPr w:rsidR="00697AA2" w:rsidRPr="000D30E8" w:rsidSect="009C68DE">
      <w:pgSz w:w="9979" w:h="14169" w:code="25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2E6" w:rsidRDefault="001C22E6" w:rsidP="000D30E8">
      <w:r>
        <w:separator/>
      </w:r>
    </w:p>
  </w:endnote>
  <w:endnote w:type="continuationSeparator" w:id="0">
    <w:p w:rsidR="001C22E6" w:rsidRDefault="001C22E6" w:rsidP="000D3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2E6" w:rsidRDefault="001C22E6" w:rsidP="000D30E8">
      <w:r>
        <w:separator/>
      </w:r>
    </w:p>
  </w:footnote>
  <w:footnote w:type="continuationSeparator" w:id="0">
    <w:p w:rsidR="001C22E6" w:rsidRDefault="001C22E6" w:rsidP="000D30E8">
      <w:r>
        <w:continuationSeparator/>
      </w:r>
    </w:p>
  </w:footnote>
  <w:footnote w:id="1">
    <w:p w:rsidR="00BF3698" w:rsidRDefault="00BF3698" w:rsidP="00CF05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Od 2004 do 2013 roku rosła stawka dopłat bezpośrednich co wynikało </w:t>
      </w:r>
      <w:r w:rsidR="00F5717C">
        <w:br/>
      </w:r>
      <w:r>
        <w:t xml:space="preserve">z </w:t>
      </w:r>
      <w:r w:rsidR="000D30E8">
        <w:t>w</w:t>
      </w:r>
      <w:r>
        <w:t xml:space="preserve">ynegocjowanych zasad stopniowego dochodzenia do pełnych płatności.   </w:t>
      </w:r>
    </w:p>
  </w:footnote>
  <w:footnote w:id="2">
    <w:p w:rsidR="00C61503" w:rsidRDefault="00C61503" w:rsidP="00CF05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Zróżnicowanie systemów płatności bezpośrednich w krajach UE (system SAPS </w:t>
      </w:r>
      <w:r w:rsidR="00CF057E">
        <w:br/>
      </w:r>
      <w:r>
        <w:t>i system SPS) wymagało przyjęcia w analizie innej metody wyliczenia dopłat; posłużono się wartością dopłat do działalności operacyjnej ze świadomością, że te transfery mogą obejmować wsparcie inne niż tylko dopłaty bezpośrednie (co w większości przypadków ma znaczenie marginalne).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A6E5E"/>
    <w:multiLevelType w:val="hybridMultilevel"/>
    <w:tmpl w:val="99BC6C16"/>
    <w:lvl w:ilvl="0" w:tplc="24F081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E65D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422E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3C51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E6DB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388A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7A2E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D678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A6C5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9F8"/>
    <w:rsid w:val="00040B13"/>
    <w:rsid w:val="00066889"/>
    <w:rsid w:val="000B6351"/>
    <w:rsid w:val="000C0B7C"/>
    <w:rsid w:val="000C45CA"/>
    <w:rsid w:val="000D30E8"/>
    <w:rsid w:val="00102195"/>
    <w:rsid w:val="00112F83"/>
    <w:rsid w:val="001474BF"/>
    <w:rsid w:val="00184F51"/>
    <w:rsid w:val="001C22E6"/>
    <w:rsid w:val="001F65F0"/>
    <w:rsid w:val="002156EB"/>
    <w:rsid w:val="002454D8"/>
    <w:rsid w:val="00277DDF"/>
    <w:rsid w:val="002923C5"/>
    <w:rsid w:val="002B0CE2"/>
    <w:rsid w:val="002D259F"/>
    <w:rsid w:val="002E5022"/>
    <w:rsid w:val="003143F2"/>
    <w:rsid w:val="00315162"/>
    <w:rsid w:val="00367182"/>
    <w:rsid w:val="0039460E"/>
    <w:rsid w:val="00394A8E"/>
    <w:rsid w:val="00395B89"/>
    <w:rsid w:val="00404B36"/>
    <w:rsid w:val="004374BF"/>
    <w:rsid w:val="00444674"/>
    <w:rsid w:val="004467C7"/>
    <w:rsid w:val="0046238D"/>
    <w:rsid w:val="00477755"/>
    <w:rsid w:val="0053308B"/>
    <w:rsid w:val="00542430"/>
    <w:rsid w:val="00543676"/>
    <w:rsid w:val="00556625"/>
    <w:rsid w:val="00564D7E"/>
    <w:rsid w:val="005862C6"/>
    <w:rsid w:val="0059089D"/>
    <w:rsid w:val="005D2B90"/>
    <w:rsid w:val="00601BD3"/>
    <w:rsid w:val="00633AF2"/>
    <w:rsid w:val="00660FF7"/>
    <w:rsid w:val="00667603"/>
    <w:rsid w:val="00675A65"/>
    <w:rsid w:val="00697AA2"/>
    <w:rsid w:val="006A466E"/>
    <w:rsid w:val="00763147"/>
    <w:rsid w:val="00773771"/>
    <w:rsid w:val="00784C64"/>
    <w:rsid w:val="007B10C0"/>
    <w:rsid w:val="007E7D70"/>
    <w:rsid w:val="0083772A"/>
    <w:rsid w:val="008656E2"/>
    <w:rsid w:val="008710D7"/>
    <w:rsid w:val="00875F5F"/>
    <w:rsid w:val="00883C5D"/>
    <w:rsid w:val="008D377C"/>
    <w:rsid w:val="008E586C"/>
    <w:rsid w:val="0090092D"/>
    <w:rsid w:val="009662F0"/>
    <w:rsid w:val="009664EC"/>
    <w:rsid w:val="009B567E"/>
    <w:rsid w:val="009C68DE"/>
    <w:rsid w:val="009C7156"/>
    <w:rsid w:val="00A05A36"/>
    <w:rsid w:val="00A171D9"/>
    <w:rsid w:val="00AA6A90"/>
    <w:rsid w:val="00AC2219"/>
    <w:rsid w:val="00AD24ED"/>
    <w:rsid w:val="00AD33E0"/>
    <w:rsid w:val="00B46615"/>
    <w:rsid w:val="00B751CB"/>
    <w:rsid w:val="00B77E65"/>
    <w:rsid w:val="00B821E9"/>
    <w:rsid w:val="00B9791E"/>
    <w:rsid w:val="00BD38C0"/>
    <w:rsid w:val="00BF1542"/>
    <w:rsid w:val="00BF3698"/>
    <w:rsid w:val="00BF4258"/>
    <w:rsid w:val="00C12B4A"/>
    <w:rsid w:val="00C36F1C"/>
    <w:rsid w:val="00C54FD0"/>
    <w:rsid w:val="00C61503"/>
    <w:rsid w:val="00C8064B"/>
    <w:rsid w:val="00C85A3B"/>
    <w:rsid w:val="00CB29C0"/>
    <w:rsid w:val="00CB65FE"/>
    <w:rsid w:val="00CD13E2"/>
    <w:rsid w:val="00CE10B8"/>
    <w:rsid w:val="00CF057E"/>
    <w:rsid w:val="00CF7509"/>
    <w:rsid w:val="00D03F25"/>
    <w:rsid w:val="00D206E6"/>
    <w:rsid w:val="00D305B0"/>
    <w:rsid w:val="00D56C68"/>
    <w:rsid w:val="00DB4EE6"/>
    <w:rsid w:val="00E3270B"/>
    <w:rsid w:val="00E35142"/>
    <w:rsid w:val="00E470E6"/>
    <w:rsid w:val="00E85B91"/>
    <w:rsid w:val="00EC0369"/>
    <w:rsid w:val="00ED7E71"/>
    <w:rsid w:val="00EE720E"/>
    <w:rsid w:val="00EF35BA"/>
    <w:rsid w:val="00F24040"/>
    <w:rsid w:val="00F24759"/>
    <w:rsid w:val="00F435DB"/>
    <w:rsid w:val="00F5717C"/>
    <w:rsid w:val="00F84FEA"/>
    <w:rsid w:val="00F909F8"/>
    <w:rsid w:val="00FB18C9"/>
    <w:rsid w:val="00FE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0E8"/>
    <w:pPr>
      <w:keepNext/>
      <w:keepLines/>
      <w:spacing w:after="0" w:line="240" w:lineRule="auto"/>
      <w:contextualSpacing/>
      <w:textboxTightWrap w:val="allLines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06E6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06E6"/>
    <w:pPr>
      <w:ind w:left="720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EE7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EE720E"/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C45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45C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45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34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36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3E319-BDCB-4836-A01E-D7ACADD2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1325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aga</cp:lastModifiedBy>
  <cp:revision>6</cp:revision>
  <dcterms:created xsi:type="dcterms:W3CDTF">2013-03-11T20:28:00Z</dcterms:created>
  <dcterms:modified xsi:type="dcterms:W3CDTF">2013-04-16T12:29:00Z</dcterms:modified>
</cp:coreProperties>
</file>